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b/>
          <w:bCs/>
          <w:color w:val="1F3864"/>
          <w:sz w:val="30"/>
          <w:szCs w:val="30"/>
        </w:rPr>
        <w:t xml:space="preserve">RESUMEN DE ESTUDIO</w:t>
      </w:r>
    </w:p>
    <w:p>
      <w:pPr>
        <w:spacing w:after="60"/>
        <w:jc w:val="center"/>
      </w:pPr>
      <w:r>
        <w:rPr>
          <w:color w:val="2E74B5"/>
          <w:sz w:val="22"/>
          <w:szCs w:val="22"/>
        </w:rPr>
        <w:t xml:space="preserve">Historia del Diseño — Arte y diseño: una relación constante</w:t>
      </w:r>
    </w:p>
    <w:p>
      <w:pPr>
        <w:spacing w:after="300"/>
        <w:jc w:val="center"/>
      </w:pPr>
      <w:r>
        <w:rPr>
          <w:i/>
          <w:iCs/>
          <w:sz w:val="18"/>
          <w:szCs w:val="18"/>
        </w:rPr>
        <w:t xml:space="preserve">Material de repaso para el examen: marco conceptual, los 7 movimientos, glosario y guía de respuesta.</w:t>
      </w:r>
    </w:p>
    <w:p>
      <w:pPr>
        <w:pStyle w:val="Heading1"/>
        <w:spacing w:after="140" w:before="320"/>
      </w:pPr>
      <w:r>
        <w:t xml:space="preserve">1. Las tres claves para analizar cualquier movimiento</w:t>
      </w:r>
    </w:p>
    <w:p>
      <w:pPr>
        <w:spacing w:after="100"/>
        <w:jc w:val="both"/>
      </w:pPr>
      <w:r>
        <w:t xml:space="preserve">Todas las preguntas del examen giran en torno a la misma idea: ningún cambio de diseño surge aislado, sino que responde a un movimiento artístico previo. Para analizar ese vínculo, conviene mirar siempre tres dimensiones:</w:t>
      </w:r>
    </w:p>
    <w:p>
      <w:pPr>
        <w:pStyle w:val="ListParagraph"/>
        <w:numPr>
          <w:ilvl w:val="0"/>
          <w:numId w:val="1"/>
        </w:numPr>
        <w:spacing w:after="60"/>
      </w:pPr>
      <w:r>
        <w:rPr>
          <w:b/>
          <w:bCs/>
        </w:rPr>
        <w:t xml:space="preserve">Influencia formal: ¿qué líneas, colores, geometrías, materiales o tipografías pasan del arte al objeto, edificio o pieza gráfica?</w:t>
      </w:r>
    </w:p>
    <w:p>
      <w:pPr>
        <w:pStyle w:val="ListParagraph"/>
        <w:numPr>
          <w:ilvl w:val="0"/>
          <w:numId w:val="1"/>
        </w:numPr>
        <w:spacing w:after="60"/>
      </w:pPr>
      <w:r>
        <w:rPr>
          <w:b/>
          <w:bCs/>
        </w:rPr>
        <w:t xml:space="preserve">Influencia ideológica: ¿cómo entiende este movimiento la sociedad, la técnica o el papel del individuo? ¿Para quién se diseña?</w:t>
      </w:r>
    </w:p>
    <w:p>
      <w:pPr>
        <w:pStyle w:val="ListParagraph"/>
        <w:numPr>
          <w:ilvl w:val="0"/>
          <w:numId w:val="1"/>
        </w:numPr>
        <w:spacing w:after="60"/>
      </w:pPr>
      <w:r>
        <w:rPr>
          <w:b/>
          <w:bCs/>
        </w:rPr>
        <w:t xml:space="preserve">Cadena de influencias: ¿de qué movimiento anterior bebe? ¿Qué rechaza o transforma?</w:t>
      </w:r>
    </w:p>
    <w:p>
      <w:pPr>
        <w:spacing w:after="100"/>
        <w:jc w:val="both"/>
      </w:pPr>
      <w:r>
        <w:t xml:space="preserve">La traducción del arte al diseño casi nunca es literal: los diseñadores no copian un cuadro o una escultura, sino que extraen de ellos un principio y lo adaptan a la función, el material y la producción en serie. Por eso, un mismo movimiento puede dar lugar a soluciones muy distintas según el país, la década o el tipo de objeto.</w:t>
      </w:r>
    </w:p>
    <w:p>
      <w:pPr>
        <w:pStyle w:val="Heading1"/>
        <w:spacing w:after="140" w:before="320"/>
      </w:pPr>
      <w:r>
        <w:t xml:space="preserve">2. Cronología general</w:t>
      </w:r>
    </w:p>
    <w:tbl>
      <w:tblPr>
        <w:tblW w:type="dxa" w:w="9900"/>
        <w:tblBorders>
          <w:top w:val="single" w:color="auto" w:sz="4"/>
          <w:left w:val="single" w:color="auto" w:sz="4"/>
          <w:bottom w:val="single" w:color="auto" w:sz="4"/>
          <w:right w:val="single" w:color="auto" w:sz="4"/>
          <w:insideH w:val="single" w:color="auto" w:sz="4"/>
          <w:insideV w:val="single" w:color="auto" w:sz="4"/>
        </w:tblBorders>
      </w:tblPr>
      <w:tblGrid>
        <w:gridCol w:w="1300"/>
        <w:gridCol w:w="1750"/>
        <w:gridCol w:w="2200"/>
        <w:gridCol w:w="3000"/>
        <w:gridCol w:w="1650"/>
      </w:tblGrid>
      <w:tr>
        <w:trPr>
          <w:tblHeader/>
        </w:trPr>
        <w:tc>
          <w:tcPr>
            <w:tcW w:type="dxa" w:w="1300"/>
            <w:shd w:fill="1F3864" w:color="auto" w:val="clear"/>
            <w:tcMar>
              <w:top w:type="dxa" w:w="70"/>
              <w:left w:type="dxa" w:w="90"/>
              <w:bottom w:type="dxa" w:w="70"/>
              <w:right w:type="dxa" w:w="90"/>
            </w:tcMar>
            <w:vAlign w:val="center"/>
          </w:tcPr>
          <w:p>
            <w:pPr>
              <w:jc w:val="center"/>
            </w:pPr>
            <w:r>
              <w:rPr>
                <w:b/>
                <w:bCs/>
                <w:color w:val="FFFFFF"/>
                <w:sz w:val="17"/>
                <w:szCs w:val="17"/>
              </w:rPr>
              <w:t xml:space="preserve">Fechas</w:t>
            </w:r>
          </w:p>
        </w:tc>
        <w:tc>
          <w:tcPr>
            <w:tcW w:type="dxa" w:w="1750"/>
            <w:shd w:fill="1F3864" w:color="auto" w:val="clear"/>
            <w:tcMar>
              <w:top w:type="dxa" w:w="70"/>
              <w:left w:type="dxa" w:w="90"/>
              <w:bottom w:type="dxa" w:w="70"/>
              <w:right w:type="dxa" w:w="90"/>
            </w:tcMar>
            <w:vAlign w:val="center"/>
          </w:tcPr>
          <w:p>
            <w:pPr>
              <w:jc w:val="center"/>
            </w:pPr>
            <w:r>
              <w:rPr>
                <w:b/>
                <w:bCs/>
                <w:color w:val="FFFFFF"/>
                <w:sz w:val="17"/>
                <w:szCs w:val="17"/>
              </w:rPr>
              <w:t xml:space="preserve">Movimiento</w:t>
            </w:r>
          </w:p>
        </w:tc>
        <w:tc>
          <w:tcPr>
            <w:tcW w:type="dxa" w:w="2200"/>
            <w:shd w:fill="1F3864" w:color="auto" w:val="clear"/>
            <w:tcMar>
              <w:top w:type="dxa" w:w="70"/>
              <w:left w:type="dxa" w:w="90"/>
              <w:bottom w:type="dxa" w:w="70"/>
              <w:right w:type="dxa" w:w="90"/>
            </w:tcMar>
            <w:vAlign w:val="center"/>
          </w:tcPr>
          <w:p>
            <w:pPr>
              <w:jc w:val="center"/>
            </w:pPr>
            <w:r>
              <w:rPr>
                <w:b/>
                <w:bCs/>
                <w:color w:val="FFFFFF"/>
                <w:sz w:val="17"/>
                <w:szCs w:val="17"/>
              </w:rPr>
              <w:t xml:space="preserve">Foco geográfico</w:t>
            </w:r>
          </w:p>
        </w:tc>
        <w:tc>
          <w:tcPr>
            <w:tcW w:type="dxa" w:w="3000"/>
            <w:shd w:fill="1F3864" w:color="auto" w:val="clear"/>
            <w:tcMar>
              <w:top w:type="dxa" w:w="70"/>
              <w:left w:type="dxa" w:w="90"/>
              <w:bottom w:type="dxa" w:w="70"/>
              <w:right w:type="dxa" w:w="90"/>
            </w:tcMar>
            <w:vAlign w:val="center"/>
          </w:tcPr>
          <w:p>
            <w:pPr>
              <w:jc w:val="center"/>
            </w:pPr>
            <w:r>
              <w:rPr>
                <w:b/>
                <w:bCs/>
                <w:color w:val="FFFFFF"/>
                <w:sz w:val="17"/>
                <w:szCs w:val="17"/>
              </w:rPr>
              <w:t xml:space="preserve">Idea clave</w:t>
            </w:r>
          </w:p>
        </w:tc>
        <w:tc>
          <w:tcPr>
            <w:tcW w:type="dxa" w:w="1650"/>
            <w:shd w:fill="1F3864" w:color="auto" w:val="clear"/>
            <w:tcMar>
              <w:top w:type="dxa" w:w="70"/>
              <w:left w:type="dxa" w:w="90"/>
              <w:bottom w:type="dxa" w:w="70"/>
              <w:right w:type="dxa" w:w="90"/>
            </w:tcMar>
            <w:vAlign w:val="center"/>
          </w:tcPr>
          <w:p>
            <w:pPr>
              <w:jc w:val="center"/>
            </w:pPr>
            <w:r>
              <w:rPr>
                <w:b/>
                <w:bCs/>
                <w:color w:val="FFFFFF"/>
                <w:sz w:val="17"/>
                <w:szCs w:val="17"/>
              </w:rPr>
              <w:t xml:space="preserve">Figuras</w:t>
            </w:r>
          </w:p>
        </w:tc>
      </w:tr>
      <w:tr>
        <w:tc>
          <w:tcPr>
            <w:tcW w:type="dxa" w:w="1300"/>
            <w:tcMar>
              <w:top w:type="dxa" w:w="70"/>
              <w:left w:type="dxa" w:w="90"/>
              <w:bottom w:type="dxa" w:w="70"/>
              <w:right w:type="dxa" w:w="90"/>
            </w:tcMar>
            <w:vAlign w:val="center"/>
          </w:tcPr>
          <w:p>
            <w:r>
              <w:rPr>
                <w:b w:val="false"/>
                <w:bCs w:val="false"/>
                <w:sz w:val="16"/>
                <w:szCs w:val="16"/>
              </w:rPr>
              <w:t xml:space="preserve">1850–1900</w:t>
            </w:r>
          </w:p>
        </w:tc>
        <w:tc>
          <w:tcPr>
            <w:tcW w:type="dxa" w:w="1750"/>
            <w:tcMar>
              <w:top w:type="dxa" w:w="70"/>
              <w:left w:type="dxa" w:w="90"/>
              <w:bottom w:type="dxa" w:w="70"/>
              <w:right w:type="dxa" w:w="90"/>
            </w:tcMar>
            <w:vAlign w:val="center"/>
          </w:tcPr>
          <w:p>
            <w:r>
              <w:rPr>
                <w:b w:val="false"/>
                <w:bCs w:val="false"/>
                <w:sz w:val="16"/>
                <w:szCs w:val="16"/>
              </w:rPr>
              <w:t xml:space="preserve">Artes y Oficios</w:t>
            </w:r>
          </w:p>
        </w:tc>
        <w:tc>
          <w:tcPr>
            <w:tcW w:type="dxa" w:w="2200"/>
            <w:tcMar>
              <w:top w:type="dxa" w:w="70"/>
              <w:left w:type="dxa" w:w="90"/>
              <w:bottom w:type="dxa" w:w="70"/>
              <w:right w:type="dxa" w:w="90"/>
            </w:tcMar>
            <w:vAlign w:val="center"/>
          </w:tcPr>
          <w:p>
            <w:r>
              <w:rPr>
                <w:b w:val="false"/>
                <w:bCs w:val="false"/>
                <w:sz w:val="16"/>
                <w:szCs w:val="16"/>
              </w:rPr>
              <w:t xml:space="preserve">Gran Bretaña</w:t>
            </w:r>
          </w:p>
        </w:tc>
        <w:tc>
          <w:tcPr>
            <w:tcW w:type="dxa" w:w="3000"/>
            <w:tcMar>
              <w:top w:type="dxa" w:w="70"/>
              <w:left w:type="dxa" w:w="90"/>
              <w:bottom w:type="dxa" w:w="70"/>
              <w:right w:type="dxa" w:w="90"/>
            </w:tcMar>
            <w:vAlign w:val="center"/>
          </w:tcPr>
          <w:p>
            <w:r>
              <w:rPr>
                <w:b w:val="false"/>
                <w:bCs w:val="false"/>
                <w:sz w:val="16"/>
                <w:szCs w:val="16"/>
              </w:rPr>
              <w:t xml:space="preserve">Reacción a la industrialización; unidad forma-función-decoración; dignidad del artesano.</w:t>
            </w:r>
          </w:p>
        </w:tc>
        <w:tc>
          <w:tcPr>
            <w:tcW w:type="dxa" w:w="1650"/>
            <w:tcMar>
              <w:top w:type="dxa" w:w="70"/>
              <w:left w:type="dxa" w:w="90"/>
              <w:bottom w:type="dxa" w:w="70"/>
              <w:right w:type="dxa" w:w="90"/>
            </w:tcMar>
            <w:vAlign w:val="center"/>
          </w:tcPr>
          <w:p>
            <w:r>
              <w:rPr>
                <w:b w:val="false"/>
                <w:bCs w:val="false"/>
                <w:sz w:val="16"/>
                <w:szCs w:val="16"/>
              </w:rPr>
              <w:t xml:space="preserve">William Morris</w:t>
            </w:r>
          </w:p>
        </w:tc>
      </w:tr>
      <w:tr>
        <w:tc>
          <w:tcPr>
            <w:tcW w:type="dxa" w:w="1300"/>
            <w:shd w:fill="F2F2F2" w:color="auto" w:val="clear"/>
            <w:tcMar>
              <w:top w:type="dxa" w:w="70"/>
              <w:left w:type="dxa" w:w="90"/>
              <w:bottom w:type="dxa" w:w="70"/>
              <w:right w:type="dxa" w:w="90"/>
            </w:tcMar>
            <w:vAlign w:val="center"/>
          </w:tcPr>
          <w:p>
            <w:r>
              <w:rPr>
                <w:b w:val="false"/>
                <w:bCs w:val="false"/>
                <w:sz w:val="16"/>
                <w:szCs w:val="16"/>
              </w:rPr>
              <w:t xml:space="preserve">1890–1910</w:t>
            </w:r>
          </w:p>
        </w:tc>
        <w:tc>
          <w:tcPr>
            <w:tcW w:type="dxa" w:w="1750"/>
            <w:shd w:fill="F2F2F2" w:color="auto" w:val="clear"/>
            <w:tcMar>
              <w:top w:type="dxa" w:w="70"/>
              <w:left w:type="dxa" w:w="90"/>
              <w:bottom w:type="dxa" w:w="70"/>
              <w:right w:type="dxa" w:w="90"/>
            </w:tcMar>
            <w:vAlign w:val="center"/>
          </w:tcPr>
          <w:p>
            <w:r>
              <w:rPr>
                <w:b w:val="false"/>
                <w:bCs w:val="false"/>
                <w:sz w:val="16"/>
                <w:szCs w:val="16"/>
              </w:rPr>
              <w:t xml:space="preserve">Art Nouveau</w:t>
            </w:r>
          </w:p>
        </w:tc>
        <w:tc>
          <w:tcPr>
            <w:tcW w:type="dxa" w:w="2200"/>
            <w:shd w:fill="F2F2F2" w:color="auto" w:val="clear"/>
            <w:tcMar>
              <w:top w:type="dxa" w:w="70"/>
              <w:left w:type="dxa" w:w="90"/>
              <w:bottom w:type="dxa" w:w="70"/>
              <w:right w:type="dxa" w:w="90"/>
            </w:tcMar>
            <w:vAlign w:val="center"/>
          </w:tcPr>
          <w:p>
            <w:r>
              <w:rPr>
                <w:b w:val="false"/>
                <w:bCs w:val="false"/>
                <w:sz w:val="16"/>
                <w:szCs w:val="16"/>
              </w:rPr>
              <w:t xml:space="preserve">Francia, Bélgica, Escocia, Cataluña, Austria</w:t>
            </w:r>
          </w:p>
        </w:tc>
        <w:tc>
          <w:tcPr>
            <w:tcW w:type="dxa" w:w="3000"/>
            <w:shd w:fill="F2F2F2" w:color="auto" w:val="clear"/>
            <w:tcMar>
              <w:top w:type="dxa" w:w="70"/>
              <w:left w:type="dxa" w:w="90"/>
              <w:bottom w:type="dxa" w:w="70"/>
              <w:right w:type="dxa" w:w="90"/>
            </w:tcMar>
            <w:vAlign w:val="center"/>
          </w:tcPr>
          <w:p>
            <w:r>
              <w:rPr>
                <w:b w:val="false"/>
                <w:bCs w:val="false"/>
                <w:sz w:val="16"/>
                <w:szCs w:val="16"/>
              </w:rPr>
              <w:t xml:space="preserve">Línea orgánica, decoración superficial; inspiración japonesa y naturaleza.</w:t>
            </w:r>
          </w:p>
        </w:tc>
        <w:tc>
          <w:tcPr>
            <w:tcW w:type="dxa" w:w="1650"/>
            <w:shd w:fill="F2F2F2" w:color="auto" w:val="clear"/>
            <w:tcMar>
              <w:top w:type="dxa" w:w="70"/>
              <w:left w:type="dxa" w:w="90"/>
              <w:bottom w:type="dxa" w:w="70"/>
              <w:right w:type="dxa" w:w="90"/>
            </w:tcMar>
            <w:vAlign w:val="center"/>
          </w:tcPr>
          <w:p>
            <w:r>
              <w:rPr>
                <w:b w:val="false"/>
                <w:bCs w:val="false"/>
                <w:sz w:val="16"/>
                <w:szCs w:val="16"/>
              </w:rPr>
              <w:t xml:space="preserve">Guimard, Mackintosh, Klimt</w:t>
            </w:r>
          </w:p>
        </w:tc>
      </w:tr>
      <w:tr>
        <w:tc>
          <w:tcPr>
            <w:tcW w:type="dxa" w:w="1300"/>
            <w:tcMar>
              <w:top w:type="dxa" w:w="70"/>
              <w:left w:type="dxa" w:w="90"/>
              <w:bottom w:type="dxa" w:w="70"/>
              <w:right w:type="dxa" w:w="90"/>
            </w:tcMar>
            <w:vAlign w:val="center"/>
          </w:tcPr>
          <w:p>
            <w:r>
              <w:rPr>
                <w:b w:val="false"/>
                <w:bCs w:val="false"/>
                <w:sz w:val="16"/>
                <w:szCs w:val="16"/>
              </w:rPr>
              <w:t xml:space="preserve">1900–1930</w:t>
            </w:r>
          </w:p>
        </w:tc>
        <w:tc>
          <w:tcPr>
            <w:tcW w:type="dxa" w:w="1750"/>
            <w:tcMar>
              <w:top w:type="dxa" w:w="70"/>
              <w:left w:type="dxa" w:w="90"/>
              <w:bottom w:type="dxa" w:w="70"/>
              <w:right w:type="dxa" w:w="90"/>
            </w:tcMar>
            <w:vAlign w:val="center"/>
          </w:tcPr>
          <w:p>
            <w:r>
              <w:rPr>
                <w:b w:val="false"/>
                <w:bCs w:val="false"/>
                <w:sz w:val="16"/>
                <w:szCs w:val="16"/>
              </w:rPr>
              <w:t xml:space="preserve">Estética de la Máquina</w:t>
            </w:r>
          </w:p>
        </w:tc>
        <w:tc>
          <w:tcPr>
            <w:tcW w:type="dxa" w:w="2200"/>
            <w:tcMar>
              <w:top w:type="dxa" w:w="70"/>
              <w:left w:type="dxa" w:w="90"/>
              <w:bottom w:type="dxa" w:w="70"/>
              <w:right w:type="dxa" w:w="90"/>
            </w:tcMar>
            <w:vAlign w:val="center"/>
          </w:tcPr>
          <w:p>
            <w:r>
              <w:rPr>
                <w:b w:val="false"/>
                <w:bCs w:val="false"/>
                <w:sz w:val="16"/>
                <w:szCs w:val="16"/>
              </w:rPr>
              <w:t xml:space="preserve">Alemania, Países Bajos, Francia</w:t>
            </w:r>
          </w:p>
        </w:tc>
        <w:tc>
          <w:tcPr>
            <w:tcW w:type="dxa" w:w="3000"/>
            <w:tcMar>
              <w:top w:type="dxa" w:w="70"/>
              <w:left w:type="dxa" w:w="90"/>
              <w:bottom w:type="dxa" w:w="70"/>
              <w:right w:type="dxa" w:w="90"/>
            </w:tcMar>
            <w:vAlign w:val="center"/>
          </w:tcPr>
          <w:p>
            <w:r>
              <w:rPr>
                <w:b w:val="false"/>
                <w:bCs w:val="false"/>
                <w:sz w:val="16"/>
                <w:szCs w:val="16"/>
              </w:rPr>
              <w:t xml:space="preserve">De la estética natural a la de la máquina; funcionalismo, geometría, producción en serie.</w:t>
            </w:r>
          </w:p>
        </w:tc>
        <w:tc>
          <w:tcPr>
            <w:tcW w:type="dxa" w:w="1650"/>
            <w:tcMar>
              <w:top w:type="dxa" w:w="70"/>
              <w:left w:type="dxa" w:w="90"/>
              <w:bottom w:type="dxa" w:w="70"/>
              <w:right w:type="dxa" w:w="90"/>
            </w:tcMar>
            <w:vAlign w:val="center"/>
          </w:tcPr>
          <w:p>
            <w:r>
              <w:rPr>
                <w:b w:val="false"/>
                <w:bCs w:val="false"/>
                <w:sz w:val="16"/>
                <w:szCs w:val="16"/>
              </w:rPr>
              <w:t xml:space="preserve">Gropius, Le Corbusier, Rietveld</w:t>
            </w:r>
          </w:p>
        </w:tc>
      </w:tr>
      <w:tr>
        <w:tc>
          <w:tcPr>
            <w:tcW w:type="dxa" w:w="1300"/>
            <w:shd w:fill="F2F2F2" w:color="auto" w:val="clear"/>
            <w:tcMar>
              <w:top w:type="dxa" w:w="70"/>
              <w:left w:type="dxa" w:w="90"/>
              <w:bottom w:type="dxa" w:w="70"/>
              <w:right w:type="dxa" w:w="90"/>
            </w:tcMar>
            <w:vAlign w:val="center"/>
          </w:tcPr>
          <w:p>
            <w:r>
              <w:rPr>
                <w:b w:val="false"/>
                <w:bCs w:val="false"/>
                <w:sz w:val="16"/>
                <w:szCs w:val="16"/>
              </w:rPr>
              <w:t xml:space="preserve">1925–1939</w:t>
            </w:r>
          </w:p>
        </w:tc>
        <w:tc>
          <w:tcPr>
            <w:tcW w:type="dxa" w:w="1750"/>
            <w:shd w:fill="F2F2F2" w:color="auto" w:val="clear"/>
            <w:tcMar>
              <w:top w:type="dxa" w:w="70"/>
              <w:left w:type="dxa" w:w="90"/>
              <w:bottom w:type="dxa" w:w="70"/>
              <w:right w:type="dxa" w:w="90"/>
            </w:tcMar>
            <w:vAlign w:val="center"/>
          </w:tcPr>
          <w:p>
            <w:r>
              <w:rPr>
                <w:b w:val="false"/>
                <w:bCs w:val="false"/>
                <w:sz w:val="16"/>
                <w:szCs w:val="16"/>
              </w:rPr>
              <w:t xml:space="preserve">Art Deco</w:t>
            </w:r>
          </w:p>
        </w:tc>
        <w:tc>
          <w:tcPr>
            <w:tcW w:type="dxa" w:w="2200"/>
            <w:shd w:fill="F2F2F2" w:color="auto" w:val="clear"/>
            <w:tcMar>
              <w:top w:type="dxa" w:w="70"/>
              <w:left w:type="dxa" w:w="90"/>
              <w:bottom w:type="dxa" w:w="70"/>
              <w:right w:type="dxa" w:w="90"/>
            </w:tcMar>
            <w:vAlign w:val="center"/>
          </w:tcPr>
          <w:p>
            <w:r>
              <w:rPr>
                <w:b w:val="false"/>
                <w:bCs w:val="false"/>
                <w:sz w:val="16"/>
                <w:szCs w:val="16"/>
              </w:rPr>
              <w:t xml:space="preserve">Francia, EE.UU. (Hollywood)</w:t>
            </w:r>
          </w:p>
        </w:tc>
        <w:tc>
          <w:tcPr>
            <w:tcW w:type="dxa" w:w="3000"/>
            <w:shd w:fill="F2F2F2" w:color="auto" w:val="clear"/>
            <w:tcMar>
              <w:top w:type="dxa" w:w="70"/>
              <w:left w:type="dxa" w:w="90"/>
              <w:bottom w:type="dxa" w:w="70"/>
              <w:right w:type="dxa" w:w="90"/>
            </w:tcMar>
            <w:vAlign w:val="center"/>
          </w:tcPr>
          <w:p>
            <w:r>
              <w:rPr>
                <w:b w:val="false"/>
                <w:bCs w:val="false"/>
                <w:sz w:val="16"/>
                <w:szCs w:val="16"/>
              </w:rPr>
              <w:t xml:space="preserve">Diseño total, lujo geométrico, velocidad y modernidad estilizada.</w:t>
            </w:r>
          </w:p>
        </w:tc>
        <w:tc>
          <w:tcPr>
            <w:tcW w:type="dxa" w:w="1650"/>
            <w:shd w:fill="F2F2F2" w:color="auto" w:val="clear"/>
            <w:tcMar>
              <w:top w:type="dxa" w:w="70"/>
              <w:left w:type="dxa" w:w="90"/>
              <w:bottom w:type="dxa" w:w="70"/>
              <w:right w:type="dxa" w:w="90"/>
            </w:tcMar>
            <w:vAlign w:val="center"/>
          </w:tcPr>
          <w:p>
            <w:r>
              <w:rPr>
                <w:b w:val="false"/>
                <w:bCs w:val="false"/>
                <w:sz w:val="16"/>
                <w:szCs w:val="16"/>
              </w:rPr>
              <w:t xml:space="preserve">Cassandre, Poiret</w:t>
            </w:r>
          </w:p>
        </w:tc>
      </w:tr>
      <w:tr>
        <w:tc>
          <w:tcPr>
            <w:tcW w:type="dxa" w:w="1300"/>
            <w:tcMar>
              <w:top w:type="dxa" w:w="70"/>
              <w:left w:type="dxa" w:w="90"/>
              <w:bottom w:type="dxa" w:w="70"/>
              <w:right w:type="dxa" w:w="90"/>
            </w:tcMar>
            <w:vAlign w:val="center"/>
          </w:tcPr>
          <w:p>
            <w:r>
              <w:rPr>
                <w:b w:val="false"/>
                <w:bCs w:val="false"/>
                <w:sz w:val="16"/>
                <w:szCs w:val="16"/>
              </w:rPr>
              <w:t xml:space="preserve">1935–1952</w:t>
            </w:r>
          </w:p>
        </w:tc>
        <w:tc>
          <w:tcPr>
            <w:tcW w:type="dxa" w:w="1750"/>
            <w:tcMar>
              <w:top w:type="dxa" w:w="70"/>
              <w:left w:type="dxa" w:w="90"/>
              <w:bottom w:type="dxa" w:w="70"/>
              <w:right w:type="dxa" w:w="90"/>
            </w:tcMar>
            <w:vAlign w:val="center"/>
          </w:tcPr>
          <w:p>
            <w:r>
              <w:rPr>
                <w:b w:val="false"/>
                <w:bCs w:val="false"/>
                <w:sz w:val="16"/>
                <w:szCs w:val="16"/>
              </w:rPr>
              <w:t xml:space="preserve">Consumismo y Estilo</w:t>
            </w:r>
          </w:p>
        </w:tc>
        <w:tc>
          <w:tcPr>
            <w:tcW w:type="dxa" w:w="2200"/>
            <w:tcMar>
              <w:top w:type="dxa" w:w="70"/>
              <w:left w:type="dxa" w:w="90"/>
              <w:bottom w:type="dxa" w:w="70"/>
              <w:right w:type="dxa" w:w="90"/>
            </w:tcMar>
            <w:vAlign w:val="center"/>
          </w:tcPr>
          <w:p>
            <w:r>
              <w:rPr>
                <w:b w:val="false"/>
                <w:bCs w:val="false"/>
                <w:sz w:val="16"/>
                <w:szCs w:val="16"/>
              </w:rPr>
              <w:t xml:space="preserve">EE.UU. y Europa</w:t>
            </w:r>
          </w:p>
        </w:tc>
        <w:tc>
          <w:tcPr>
            <w:tcW w:type="dxa" w:w="3000"/>
            <w:tcMar>
              <w:top w:type="dxa" w:w="70"/>
              <w:left w:type="dxa" w:w="90"/>
              <w:bottom w:type="dxa" w:w="70"/>
              <w:right w:type="dxa" w:w="90"/>
            </w:tcMar>
            <w:vAlign w:val="center"/>
          </w:tcPr>
          <w:p>
            <w:r>
              <w:rPr>
                <w:b w:val="false"/>
                <w:bCs w:val="false"/>
                <w:sz w:val="16"/>
                <w:szCs w:val="16"/>
              </w:rPr>
              <w:t xml:space="preserve">Aerodinamismo ("streamline"); estilo frente a función pura; diseño natural escandinavo.</w:t>
            </w:r>
          </w:p>
        </w:tc>
        <w:tc>
          <w:tcPr>
            <w:tcW w:type="dxa" w:w="1650"/>
            <w:tcMar>
              <w:top w:type="dxa" w:w="70"/>
              <w:left w:type="dxa" w:w="90"/>
              <w:bottom w:type="dxa" w:w="70"/>
              <w:right w:type="dxa" w:w="90"/>
            </w:tcMar>
            <w:vAlign w:val="center"/>
          </w:tcPr>
          <w:p>
            <w:r>
              <w:rPr>
                <w:b w:val="false"/>
                <w:bCs w:val="false"/>
                <w:sz w:val="16"/>
                <w:szCs w:val="16"/>
              </w:rPr>
              <w:t xml:space="preserve">Alvar Aalto</w:t>
            </w:r>
          </w:p>
        </w:tc>
      </w:tr>
      <w:tr>
        <w:tc>
          <w:tcPr>
            <w:tcW w:type="dxa" w:w="1300"/>
            <w:shd w:fill="F2F2F2" w:color="auto" w:val="clear"/>
            <w:tcMar>
              <w:top w:type="dxa" w:w="70"/>
              <w:left w:type="dxa" w:w="90"/>
              <w:bottom w:type="dxa" w:w="70"/>
              <w:right w:type="dxa" w:w="90"/>
            </w:tcMar>
            <w:vAlign w:val="center"/>
          </w:tcPr>
          <w:p>
            <w:r>
              <w:rPr>
                <w:b w:val="false"/>
                <w:bCs w:val="false"/>
                <w:sz w:val="16"/>
                <w:szCs w:val="16"/>
              </w:rPr>
              <w:t xml:space="preserve">1955–1975</w:t>
            </w:r>
          </w:p>
        </w:tc>
        <w:tc>
          <w:tcPr>
            <w:tcW w:type="dxa" w:w="1750"/>
            <w:shd w:fill="F2F2F2" w:color="auto" w:val="clear"/>
            <w:tcMar>
              <w:top w:type="dxa" w:w="70"/>
              <w:left w:type="dxa" w:w="90"/>
              <w:bottom w:type="dxa" w:w="70"/>
              <w:right w:type="dxa" w:w="90"/>
            </w:tcMar>
            <w:vAlign w:val="center"/>
          </w:tcPr>
          <w:p>
            <w:r>
              <w:rPr>
                <w:b w:val="false"/>
                <w:bCs w:val="false"/>
                <w:sz w:val="16"/>
                <w:szCs w:val="16"/>
              </w:rPr>
              <w:t xml:space="preserve">La Era de la Abundancia (Pop)</w:t>
            </w:r>
          </w:p>
        </w:tc>
        <w:tc>
          <w:tcPr>
            <w:tcW w:type="dxa" w:w="2200"/>
            <w:shd w:fill="F2F2F2" w:color="auto" w:val="clear"/>
            <w:tcMar>
              <w:top w:type="dxa" w:w="70"/>
              <w:left w:type="dxa" w:w="90"/>
              <w:bottom w:type="dxa" w:w="70"/>
              <w:right w:type="dxa" w:w="90"/>
            </w:tcMar>
            <w:vAlign w:val="center"/>
          </w:tcPr>
          <w:p>
            <w:r>
              <w:rPr>
                <w:b w:val="false"/>
                <w:bCs w:val="false"/>
                <w:sz w:val="16"/>
                <w:szCs w:val="16"/>
              </w:rPr>
              <w:t xml:space="preserve">Reino Unido, EE.UU., Italia</w:t>
            </w:r>
          </w:p>
        </w:tc>
        <w:tc>
          <w:tcPr>
            <w:tcW w:type="dxa" w:w="3000"/>
            <w:shd w:fill="F2F2F2" w:color="auto" w:val="clear"/>
            <w:tcMar>
              <w:top w:type="dxa" w:w="70"/>
              <w:left w:type="dxa" w:w="90"/>
              <w:bottom w:type="dxa" w:w="70"/>
              <w:right w:type="dxa" w:w="90"/>
            </w:tcMar>
            <w:vAlign w:val="center"/>
          </w:tcPr>
          <w:p>
            <w:r>
              <w:rPr>
                <w:b w:val="false"/>
                <w:bCs w:val="false"/>
                <w:sz w:val="16"/>
                <w:szCs w:val="16"/>
              </w:rPr>
              <w:t xml:space="preserve">Optimismo de posguerra, cultura juvenil y de consumo, Pop art, psicodelia.</w:t>
            </w:r>
          </w:p>
        </w:tc>
        <w:tc>
          <w:tcPr>
            <w:tcW w:type="dxa" w:w="1650"/>
            <w:shd w:fill="F2F2F2" w:color="auto" w:val="clear"/>
            <w:tcMar>
              <w:top w:type="dxa" w:w="70"/>
              <w:left w:type="dxa" w:w="90"/>
              <w:bottom w:type="dxa" w:w="70"/>
              <w:right w:type="dxa" w:w="90"/>
            </w:tcMar>
            <w:vAlign w:val="center"/>
          </w:tcPr>
          <w:p>
            <w:r>
              <w:rPr>
                <w:b w:val="false"/>
                <w:bCs w:val="false"/>
                <w:sz w:val="16"/>
                <w:szCs w:val="16"/>
              </w:rPr>
              <w:t xml:space="preserve">Warhol, Lichtenstein, Aarnio</w:t>
            </w:r>
          </w:p>
        </w:tc>
      </w:tr>
      <w:tr>
        <w:tc>
          <w:tcPr>
            <w:tcW w:type="dxa" w:w="1300"/>
            <w:tcMar>
              <w:top w:type="dxa" w:w="70"/>
              <w:left w:type="dxa" w:w="90"/>
              <w:bottom w:type="dxa" w:w="70"/>
              <w:right w:type="dxa" w:w="90"/>
            </w:tcMar>
            <w:vAlign w:val="center"/>
          </w:tcPr>
          <w:p>
            <w:r>
              <w:rPr>
                <w:b w:val="false"/>
                <w:bCs w:val="false"/>
                <w:sz w:val="16"/>
                <w:szCs w:val="16"/>
              </w:rPr>
              <w:t xml:space="preserve">1970–1990</w:t>
            </w:r>
          </w:p>
        </w:tc>
        <w:tc>
          <w:tcPr>
            <w:tcW w:type="dxa" w:w="1750"/>
            <w:tcMar>
              <w:top w:type="dxa" w:w="70"/>
              <w:left w:type="dxa" w:w="90"/>
              <w:bottom w:type="dxa" w:w="70"/>
              <w:right w:type="dxa" w:w="90"/>
            </w:tcMar>
            <w:vAlign w:val="center"/>
          </w:tcPr>
          <w:p>
            <w:r>
              <w:rPr>
                <w:b w:val="false"/>
                <w:bCs w:val="false"/>
                <w:sz w:val="16"/>
                <w:szCs w:val="16"/>
              </w:rPr>
              <w:t xml:space="preserve">Estilo 1970–1990</w:t>
            </w:r>
          </w:p>
        </w:tc>
        <w:tc>
          <w:tcPr>
            <w:tcW w:type="dxa" w:w="2200"/>
            <w:tcMar>
              <w:top w:type="dxa" w:w="70"/>
              <w:left w:type="dxa" w:w="90"/>
              <w:bottom w:type="dxa" w:w="70"/>
              <w:right w:type="dxa" w:w="90"/>
            </w:tcMar>
            <w:vAlign w:val="center"/>
          </w:tcPr>
          <w:p>
            <w:r>
              <w:rPr>
                <w:b w:val="false"/>
                <w:bCs w:val="false"/>
                <w:sz w:val="16"/>
                <w:szCs w:val="16"/>
              </w:rPr>
              <w:t xml:space="preserve">Internacional</w:t>
            </w:r>
          </w:p>
        </w:tc>
        <w:tc>
          <w:tcPr>
            <w:tcW w:type="dxa" w:w="3000"/>
            <w:tcMar>
              <w:top w:type="dxa" w:w="70"/>
              <w:left w:type="dxa" w:w="90"/>
              <w:bottom w:type="dxa" w:w="70"/>
              <w:right w:type="dxa" w:w="90"/>
            </w:tcMar>
            <w:vAlign w:val="center"/>
          </w:tcPr>
          <w:p>
            <w:r>
              <w:rPr>
                <w:b w:val="false"/>
                <w:bCs w:val="false"/>
                <w:sz w:val="16"/>
                <w:szCs w:val="16"/>
              </w:rPr>
              <w:t xml:space="preserve">Alta tecnología, posmodernismo ("menos es un aburrimiento"), microelectrónica.</w:t>
            </w:r>
          </w:p>
        </w:tc>
        <w:tc>
          <w:tcPr>
            <w:tcW w:type="dxa" w:w="1650"/>
            <w:tcMar>
              <w:top w:type="dxa" w:w="70"/>
              <w:left w:type="dxa" w:w="90"/>
              <w:bottom w:type="dxa" w:w="70"/>
              <w:right w:type="dxa" w:w="90"/>
            </w:tcMar>
            <w:vAlign w:val="center"/>
          </w:tcPr>
          <w:p>
            <w:r>
              <w:rPr>
                <w:b w:val="false"/>
                <w:bCs w:val="false"/>
                <w:sz w:val="16"/>
                <w:szCs w:val="16"/>
              </w:rPr>
              <w:t xml:space="preserve">Venturi, Sottsass, Graves</w:t>
            </w:r>
          </w:p>
        </w:tc>
      </w:tr>
    </w:tbl>
    <w:p>
      <w:r>
        <w:br w:type="page"/>
      </w:r>
    </w:p>
    <w:p>
      <w:pPr>
        <w:pStyle w:val="Heading1"/>
        <w:spacing w:after="140" w:before="320"/>
      </w:pPr>
      <w:r>
        <w:t xml:space="preserve">3. Los 7 movimientos, uno a uno</w:t>
      </w:r>
    </w:p>
    <w:p>
      <w:pPr>
        <w:spacing w:after="100" w:before="200"/>
      </w:pPr>
      <w:r>
        <w:rPr>
          <w:b/>
          <w:bCs/>
          <w:color w:val="1F3864"/>
          <w:sz w:val="24"/>
          <w:szCs w:val="24"/>
        </w:rPr>
        <w:t xml:space="preserve">1. Movimiento de Artes y Oficios (Arts &amp; Crafts)</w:t>
      </w:r>
    </w:p>
    <w:p>
      <w:pPr>
        <w:spacing w:after="100"/>
      </w:pPr>
      <w:r>
        <w:rPr>
          <w:i/>
          <w:iCs/>
          <w:color w:val="666666"/>
          <w:sz w:val="18"/>
          <w:szCs w:val="18"/>
        </w:rPr>
        <w:t xml:space="preserve">1850–1900 · Gran Bretaña</w:t>
      </w:r>
    </w:p>
    <w:tbl>
      <w:tblPr>
        <w:tblW w:type="dxa" w:w="9900"/>
        <w:tblBorders>
          <w:top w:val="none"/>
          <w:left w:val="none"/>
          <w:bottom w:val="none"/>
          <w:right w:val="none"/>
          <w:insideH w:val="none"/>
          <w:insideV w:val="none"/>
        </w:tblBorders>
      </w:tblPr>
      <w:tblGrid>
        <w:gridCol w:w="2600"/>
        <w:gridCol w:w="7300"/>
      </w:tblGrid>
      <w:tr>
        <w:tc>
          <w:tcPr>
            <w:tcW w:type="dxa" w:w="2600"/>
            <w:tcMar>
              <w:top w:type="dxa" w:w="40"/>
              <w:left w:type="dxa" w:w="40"/>
              <w:bottom w:type="dxa" w:w="40"/>
              <w:right w:type="dxa" w:w="100"/>
            </w:tcMar>
          </w:tcPr>
          <w:p>
            <w:pPr>
              <w:spacing w:after="80"/>
              <w:jc w:val="center"/>
            </w:pPr>
            <w:r>
              <w:drawing>
                <wp:inline distT="0" distB="0" distL="0" distR="0">
                  <wp:extent cx="1181100" cy="1733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181100" cy="1733550"/>
                          </a:xfrm>
                          <a:prstGeom prst="rect">
                            <a:avLst/>
                          </a:prstGeom>
                        </pic:spPr>
                      </pic:pic>
                    </a:graphicData>
                  </a:graphic>
                </wp:inline>
              </w:drawing>
            </w:r>
          </w:p>
        </w:tc>
        <w:tc>
          <w:tcPr>
            <w:tcW w:type="dxa" w:w="7300"/>
            <w:tcMar>
              <w:top w:type="dxa" w:w="40"/>
              <w:left w:type="dxa" w:w="100"/>
              <w:bottom w:type="dxa" w:w="40"/>
              <w:right w:type="dxa" w:w="40"/>
            </w:tcMar>
          </w:tcPr>
          <w:p>
            <w:pPr>
              <w:spacing w:after="70"/>
              <w:jc w:val="both"/>
            </w:pPr>
            <w:r>
              <w:rPr>
                <w:b/>
                <w:bCs/>
                <w:color w:val="1F3864"/>
                <w:sz w:val="19"/>
                <w:szCs w:val="19"/>
              </w:rPr>
              <w:t xml:space="preserve">Contexto: </w:t>
            </w:r>
            <w:r>
              <w:rPr>
                <w:sz w:val="19"/>
                <w:szCs w:val="19"/>
              </w:rPr>
              <w:t xml:space="preserve">Surge como reacción ideológica a la industrialización del siglo XIX, que —según sus impulsores— había despojado al trabajador del orgullo por su oficio y degradado la calidad de los objetos producidos en serie.</w:t>
            </w:r>
          </w:p>
          <w:p>
            <w:pPr>
              <w:spacing w:after="70"/>
              <w:jc w:val="both"/>
            </w:pPr>
            <w:r>
              <w:rPr>
                <w:b/>
                <w:bCs/>
                <w:color w:val="1F3864"/>
                <w:sz w:val="19"/>
                <w:szCs w:val="19"/>
              </w:rPr>
              <w:t xml:space="preserve">Ideología: </w:t>
            </w:r>
            <w:r>
              <w:rPr>
                <w:sz w:val="19"/>
                <w:szCs w:val="19"/>
              </w:rPr>
              <w:t xml:space="preserve">Defiende la supremacía del artesano y la superioridad de lo hecho a mano frente a lo hecho a máquina. Se inspira en los gremios medievales y busca educar al público en las artes decorativas para mejorar la calidad de vida de todos.</w:t>
            </w:r>
          </w:p>
          <w:p>
            <w:pPr>
              <w:spacing w:after="70"/>
              <w:jc w:val="both"/>
            </w:pPr>
            <w:r>
              <w:rPr>
                <w:b/>
                <w:bCs/>
                <w:color w:val="1F3864"/>
                <w:sz w:val="19"/>
                <w:szCs w:val="19"/>
              </w:rPr>
              <w:t xml:space="preserve">Influencia formal: </w:t>
            </w:r>
            <w:r>
              <w:rPr>
                <w:sz w:val="19"/>
                <w:szCs w:val="19"/>
              </w:rPr>
              <w:t xml:space="preserve">Motivos vegetales y animales, patrones planos y repetitivos, tipografía de inspiración gótica, colores brillantes con control decorativo minucioso (William Morris, Kelmscott Press).</w:t>
            </w:r>
          </w:p>
          <w:p>
            <w:pPr>
              <w:spacing w:after="70"/>
              <w:jc w:val="both"/>
            </w:pPr>
            <w:r>
              <w:rPr>
                <w:b/>
                <w:bCs/>
                <w:color w:val="1F3864"/>
                <w:sz w:val="19"/>
                <w:szCs w:val="19"/>
              </w:rPr>
              <w:t xml:space="preserve">Cadena de influencias: </w:t>
            </w:r>
            <w:r>
              <w:rPr>
                <w:sz w:val="19"/>
                <w:szCs w:val="19"/>
              </w:rPr>
              <w:t xml:space="preserve">Es el punto de partida de la cadena: reacciona contra la industrialización y la producción en serie sin criterio estético. Da paso al Art Nouveau, que hereda su idea de "unidad entre las disciplinas" pero abandona la nostalgia medieval.</w:t>
            </w:r>
          </w:p>
          <w:p>
            <w:pPr>
              <w:spacing w:after="70"/>
              <w:jc w:val="both"/>
            </w:pPr>
            <w:r>
              <w:rPr>
                <w:b/>
                <w:bCs/>
                <w:color w:val="1F3864"/>
                <w:sz w:val="19"/>
                <w:szCs w:val="19"/>
              </w:rPr>
              <w:t xml:space="preserve">Figuras clave: </w:t>
            </w:r>
            <w:r>
              <w:rPr>
                <w:sz w:val="19"/>
                <w:szCs w:val="19"/>
              </w:rPr>
              <w:t xml:space="preserve">William Morris (Morris &amp; Co., Kelmscott Press), John Ruskin, Hermandad Prerrafaelita.</w:t>
            </w:r>
          </w:p>
        </w:tc>
      </w:tr>
    </w:tbl>
    <w:p>
      <w:pPr>
        <w:pBdr>
          <w:bottom w:val="single" w:color="CCCCCC" w:sz="4" w:space="6"/>
        </w:pBdr>
        <w:spacing w:after="160"/>
      </w:pPr>
      <w:r>
        <w:t xml:space="preserve"/>
      </w:r>
    </w:p>
    <w:p>
      <w:pPr>
        <w:spacing w:after="100" w:before="200"/>
      </w:pPr>
      <w:r>
        <w:rPr>
          <w:b/>
          <w:bCs/>
          <w:color w:val="1F3864"/>
          <w:sz w:val="24"/>
          <w:szCs w:val="24"/>
        </w:rPr>
        <w:t xml:space="preserve">2. Art Nouveau</w:t>
      </w:r>
    </w:p>
    <w:p>
      <w:pPr>
        <w:spacing w:after="100"/>
      </w:pPr>
      <w:r>
        <w:rPr>
          <w:i/>
          <w:iCs/>
          <w:color w:val="666666"/>
          <w:sz w:val="18"/>
          <w:szCs w:val="18"/>
        </w:rPr>
        <w:t xml:space="preserve">1890–1910 · Francia, Bélgica, Escocia, Cataluña, Austria</w:t>
      </w:r>
    </w:p>
    <w:tbl>
      <w:tblPr>
        <w:tblW w:type="dxa" w:w="9900"/>
        <w:tblBorders>
          <w:top w:val="none"/>
          <w:left w:val="none"/>
          <w:bottom w:val="none"/>
          <w:right w:val="none"/>
          <w:insideH w:val="none"/>
          <w:insideV w:val="none"/>
        </w:tblBorders>
      </w:tblPr>
      <w:tblGrid>
        <w:gridCol w:w="2600"/>
        <w:gridCol w:w="7300"/>
      </w:tblGrid>
      <w:tr>
        <w:tc>
          <w:tcPr>
            <w:tcW w:type="dxa" w:w="2600"/>
            <w:tcMar>
              <w:top w:type="dxa" w:w="40"/>
              <w:left w:type="dxa" w:w="40"/>
              <w:bottom w:type="dxa" w:w="40"/>
              <w:right w:type="dxa" w:w="100"/>
            </w:tcMar>
          </w:tcPr>
          <w:p>
            <w:pPr>
              <w:spacing w:after="80"/>
              <w:jc w:val="center"/>
            </w:pPr>
            <w:r>
              <w:drawing>
                <wp:inline distT="0" distB="0" distL="0" distR="0">
                  <wp:extent cx="2105025" cy="1552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105025" cy="1552575"/>
                          </a:xfrm>
                          <a:prstGeom prst="rect">
                            <a:avLst/>
                          </a:prstGeom>
                        </pic:spPr>
                      </pic:pic>
                    </a:graphicData>
                  </a:graphic>
                </wp:inline>
              </w:drawing>
            </w:r>
          </w:p>
        </w:tc>
        <w:tc>
          <w:tcPr>
            <w:tcW w:type="dxa" w:w="7300"/>
            <w:tcMar>
              <w:top w:type="dxa" w:w="40"/>
              <w:left w:type="dxa" w:w="100"/>
              <w:bottom w:type="dxa" w:w="40"/>
              <w:right w:type="dxa" w:w="40"/>
            </w:tcMar>
          </w:tcPr>
          <w:p>
            <w:pPr>
              <w:spacing w:after="70"/>
              <w:jc w:val="both"/>
            </w:pPr>
            <w:r>
              <w:rPr>
                <w:b/>
                <w:bCs/>
                <w:color w:val="1F3864"/>
                <w:sz w:val="19"/>
                <w:szCs w:val="19"/>
              </w:rPr>
              <w:t xml:space="preserve">Contexto: </w:t>
            </w:r>
            <w:r>
              <w:rPr>
                <w:sz w:val="19"/>
                <w:szCs w:val="19"/>
              </w:rPr>
              <w:t xml:space="preserve">Continúa la voluntad de Artes y Oficios de unir arte y oficio, pero sustituye la nostalgia medieval por un lenguaje nuevo inspirado en la naturaleza y en el arte japonés recién descubierto en Europa.</w:t>
            </w:r>
          </w:p>
          <w:p>
            <w:pPr>
              <w:spacing w:after="70"/>
              <w:jc w:val="both"/>
            </w:pPr>
            <w:r>
              <w:rPr>
                <w:b/>
                <w:bCs/>
                <w:color w:val="1F3864"/>
                <w:sz w:val="19"/>
                <w:szCs w:val="19"/>
              </w:rPr>
              <w:t xml:space="preserve">Ideología: </w:t>
            </w:r>
            <w:r>
              <w:rPr>
                <w:sz w:val="19"/>
                <w:szCs w:val="19"/>
              </w:rPr>
              <w:t xml:space="preserve">Busca un arte total que impregne todo el entorno urbano y doméstico —del cartel al edificio—, disolviendo la jerarquía entre "bellas artes" y "artes aplicadas".</w:t>
            </w:r>
          </w:p>
          <w:p>
            <w:pPr>
              <w:spacing w:after="70"/>
              <w:jc w:val="both"/>
            </w:pPr>
            <w:r>
              <w:rPr>
                <w:b/>
                <w:bCs/>
                <w:color w:val="1F3864"/>
                <w:sz w:val="19"/>
                <w:szCs w:val="19"/>
              </w:rPr>
              <w:t xml:space="preserve">Influencia formal: </w:t>
            </w:r>
            <w:r>
              <w:rPr>
                <w:sz w:val="19"/>
                <w:szCs w:val="19"/>
              </w:rPr>
              <w:t xml:space="preserve">Línea fluida y ondulante, motivos florales y animales estilizados, materiales exóticos (nácar, cristal iridiscente); en Escocia y Austria, formas más geométricas y depuradas.</w:t>
            </w:r>
          </w:p>
          <w:p>
            <w:pPr>
              <w:spacing w:after="70"/>
              <w:jc w:val="both"/>
            </w:pPr>
            <w:r>
              <w:rPr>
                <w:b/>
                <w:bCs/>
                <w:color w:val="1F3864"/>
                <w:sz w:val="19"/>
                <w:szCs w:val="19"/>
              </w:rPr>
              <w:t xml:space="preserve">Cadena de influencias: </w:t>
            </w:r>
            <w:r>
              <w:rPr>
                <w:sz w:val="19"/>
                <w:szCs w:val="19"/>
              </w:rPr>
              <w:t xml:space="preserve">Hereda de Artes y Oficios la unidad entre disciplinas y el rechazo al objeto puramente industrial, pero rechaza su historicismo. Es rechazado a su vez por la Estética de la Máquina, que considera su ornamento un obstáculo para la producción en serie.</w:t>
            </w:r>
          </w:p>
          <w:p>
            <w:pPr>
              <w:spacing w:after="70"/>
              <w:jc w:val="both"/>
            </w:pPr>
            <w:r>
              <w:rPr>
                <w:b/>
                <w:bCs/>
                <w:color w:val="1F3864"/>
                <w:sz w:val="19"/>
                <w:szCs w:val="19"/>
              </w:rPr>
              <w:t xml:space="preserve">Figuras clave: </w:t>
            </w:r>
            <w:r>
              <w:rPr>
                <w:sz w:val="19"/>
                <w:szCs w:val="19"/>
              </w:rPr>
              <w:t xml:space="preserve">Héctor Guimard, Charles Rennie Mackintosh, Victor Horta, René Lalique, Gustav Klimt, Antoni Gaudí.</w:t>
            </w:r>
          </w:p>
        </w:tc>
      </w:tr>
    </w:tbl>
    <w:p>
      <w:pPr>
        <w:pBdr>
          <w:bottom w:val="single" w:color="CCCCCC" w:sz="4" w:space="6"/>
        </w:pBdr>
        <w:spacing w:after="160"/>
      </w:pPr>
      <w:r>
        <w:t xml:space="preserve"/>
      </w:r>
    </w:p>
    <w:p>
      <w:pPr>
        <w:spacing w:after="100" w:before="200"/>
      </w:pPr>
      <w:r>
        <w:rPr>
          <w:b/>
          <w:bCs/>
          <w:color w:val="1F3864"/>
          <w:sz w:val="24"/>
          <w:szCs w:val="24"/>
        </w:rPr>
        <w:t xml:space="preserve">3. Estética de la Máquina (Bauhaus, De Stijl, L'Esprit Nouveau)</w:t>
      </w:r>
    </w:p>
    <w:p>
      <w:pPr>
        <w:spacing w:after="100"/>
      </w:pPr>
      <w:r>
        <w:rPr>
          <w:i/>
          <w:iCs/>
          <w:color w:val="666666"/>
          <w:sz w:val="18"/>
          <w:szCs w:val="18"/>
        </w:rPr>
        <w:t xml:space="preserve">1900–1930 · Alemania, Países Bajos, Francia</w:t>
      </w:r>
    </w:p>
    <w:tbl>
      <w:tblPr>
        <w:tblW w:type="dxa" w:w="9900"/>
        <w:tblBorders>
          <w:top w:val="none"/>
          <w:left w:val="none"/>
          <w:bottom w:val="none"/>
          <w:right w:val="none"/>
          <w:insideH w:val="none"/>
          <w:insideV w:val="none"/>
        </w:tblBorders>
      </w:tblPr>
      <w:tblGrid>
        <w:gridCol w:w="2600"/>
        <w:gridCol w:w="7300"/>
      </w:tblGrid>
      <w:tr>
        <w:tc>
          <w:tcPr>
            <w:tcW w:type="dxa" w:w="2600"/>
            <w:tcMar>
              <w:top w:type="dxa" w:w="40"/>
              <w:left w:type="dxa" w:w="40"/>
              <w:bottom w:type="dxa" w:w="40"/>
              <w:right w:type="dxa" w:w="100"/>
            </w:tcMar>
          </w:tcPr>
          <w:p>
            <w:pPr>
              <w:spacing w:after="80"/>
              <w:jc w:val="center"/>
            </w:pPr>
            <w:r>
              <w:drawing>
                <wp:inline distT="0" distB="0" distL="0" distR="0">
                  <wp:extent cx="1914525" cy="1733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914525" cy="1733550"/>
                          </a:xfrm>
                          <a:prstGeom prst="rect">
                            <a:avLst/>
                          </a:prstGeom>
                        </pic:spPr>
                      </pic:pic>
                    </a:graphicData>
                  </a:graphic>
                </wp:inline>
              </w:drawing>
            </w:r>
          </w:p>
        </w:tc>
        <w:tc>
          <w:tcPr>
            <w:tcW w:type="dxa" w:w="7300"/>
            <w:tcMar>
              <w:top w:type="dxa" w:w="40"/>
              <w:left w:type="dxa" w:w="100"/>
              <w:bottom w:type="dxa" w:w="40"/>
              <w:right w:type="dxa" w:w="40"/>
            </w:tcMar>
          </w:tcPr>
          <w:p>
            <w:pPr>
              <w:spacing w:after="70"/>
              <w:jc w:val="both"/>
            </w:pPr>
            <w:r>
              <w:rPr>
                <w:b/>
                <w:bCs/>
                <w:color w:val="1F3864"/>
                <w:sz w:val="19"/>
                <w:szCs w:val="19"/>
              </w:rPr>
              <w:t xml:space="preserve">Contexto: </w:t>
            </w:r>
            <w:r>
              <w:rPr>
                <w:sz w:val="19"/>
                <w:szCs w:val="19"/>
              </w:rPr>
              <w:t xml:space="preserve">Con la consolidación de la industria y la producción en serie, arquitectos y diseñadores rechazan el ornamento del Art Nouveau y buscan una estética adaptada a la máquina y al nuevo hombre industrial.</w:t>
            </w:r>
          </w:p>
          <w:p>
            <w:pPr>
              <w:spacing w:after="70"/>
              <w:jc w:val="both"/>
            </w:pPr>
            <w:r>
              <w:rPr>
                <w:b/>
                <w:bCs/>
                <w:color w:val="1F3864"/>
                <w:sz w:val="19"/>
                <w:szCs w:val="19"/>
              </w:rPr>
              <w:t xml:space="preserve">Ideología: </w:t>
            </w:r>
            <w:r>
              <w:rPr>
                <w:sz w:val="19"/>
                <w:szCs w:val="19"/>
              </w:rPr>
              <w:t xml:space="preserve">La Bauhaus, fundada por Walter Gropius en 1919, se propone reformar la enseñanza artística uniendo arte y oficio como una sola disciplina, con una clara vocación social: producir objetos de calidad accesibles para el gran público.</w:t>
            </w:r>
          </w:p>
          <w:p>
            <w:pPr>
              <w:spacing w:after="70"/>
              <w:jc w:val="both"/>
            </w:pPr>
            <w:r>
              <w:rPr>
                <w:b/>
                <w:bCs/>
                <w:color w:val="1F3864"/>
                <w:sz w:val="19"/>
                <w:szCs w:val="19"/>
              </w:rPr>
              <w:t xml:space="preserve">Influencia formal: </w:t>
            </w:r>
            <w:r>
              <w:rPr>
                <w:sz w:val="19"/>
                <w:szCs w:val="19"/>
              </w:rPr>
              <w:t xml:space="preserve">Geometría elemental, superficies lisas sin ornamento, colores primarios (De Stijl), estructuras metálicas tubulares, tipografía sin remates (sans-serif).</w:t>
            </w:r>
          </w:p>
          <w:p>
            <w:pPr>
              <w:spacing w:after="70"/>
              <w:jc w:val="both"/>
            </w:pPr>
            <w:r>
              <w:rPr>
                <w:b/>
                <w:bCs/>
                <w:color w:val="1F3864"/>
                <w:sz w:val="19"/>
                <w:szCs w:val="19"/>
              </w:rPr>
              <w:t xml:space="preserve">Cadena de influencias: </w:t>
            </w:r>
            <w:r>
              <w:rPr>
                <w:sz w:val="19"/>
                <w:szCs w:val="19"/>
              </w:rPr>
              <w:t xml:space="preserve">Rechaza frontalmente el ornamento del Art Nouveau, pero hereda su voluntad de "diseño total". Da paso al Art Deco, que reintroduce el lujo y la decoración geométrica que la Bauhaus había descartado.</w:t>
            </w:r>
          </w:p>
          <w:p>
            <w:pPr>
              <w:spacing w:after="70"/>
              <w:jc w:val="both"/>
            </w:pPr>
            <w:r>
              <w:rPr>
                <w:b/>
                <w:bCs/>
                <w:color w:val="1F3864"/>
                <w:sz w:val="19"/>
                <w:szCs w:val="19"/>
              </w:rPr>
              <w:t xml:space="preserve">Figuras clave: </w:t>
            </w:r>
            <w:r>
              <w:rPr>
                <w:sz w:val="19"/>
                <w:szCs w:val="19"/>
              </w:rPr>
              <w:t xml:space="preserve">Walter Gropius, Le Corbusier, Gerrit Rietveld, Theo van Doesburg, Mies van der Rohe, Marcel Breuer.</w:t>
            </w:r>
          </w:p>
        </w:tc>
      </w:tr>
    </w:tbl>
    <w:p>
      <w:pPr>
        <w:pBdr>
          <w:bottom w:val="single" w:color="CCCCCC" w:sz="4" w:space="6"/>
        </w:pBdr>
        <w:spacing w:after="160"/>
      </w:pPr>
      <w:r>
        <w:t xml:space="preserve"/>
      </w:r>
    </w:p>
    <w:p>
      <w:pPr>
        <w:spacing w:after="100" w:before="200"/>
      </w:pPr>
      <w:r>
        <w:rPr>
          <w:b/>
          <w:bCs/>
          <w:color w:val="1F3864"/>
          <w:sz w:val="24"/>
          <w:szCs w:val="24"/>
        </w:rPr>
        <w:t xml:space="preserve">4. Art Deco</w:t>
      </w:r>
    </w:p>
    <w:p>
      <w:pPr>
        <w:spacing w:after="100"/>
      </w:pPr>
      <w:r>
        <w:rPr>
          <w:i/>
          <w:iCs/>
          <w:color w:val="666666"/>
          <w:sz w:val="18"/>
          <w:szCs w:val="18"/>
        </w:rPr>
        <w:t xml:space="preserve">1925–1939 · Francia, Estados Unidos (Hollywood)</w:t>
      </w:r>
    </w:p>
    <w:tbl>
      <w:tblPr>
        <w:tblW w:type="dxa" w:w="9900"/>
        <w:tblBorders>
          <w:top w:val="none"/>
          <w:left w:val="none"/>
          <w:bottom w:val="none"/>
          <w:right w:val="none"/>
          <w:insideH w:val="none"/>
          <w:insideV w:val="none"/>
        </w:tblBorders>
      </w:tblPr>
      <w:tblGrid>
        <w:gridCol w:w="2600"/>
        <w:gridCol w:w="7300"/>
      </w:tblGrid>
      <w:tr>
        <w:tc>
          <w:tcPr>
            <w:tcW w:type="dxa" w:w="2600"/>
            <w:tcMar>
              <w:top w:type="dxa" w:w="40"/>
              <w:left w:type="dxa" w:w="40"/>
              <w:bottom w:type="dxa" w:w="40"/>
              <w:right w:type="dxa" w:w="100"/>
            </w:tcMar>
          </w:tcPr>
          <w:p>
            <w:pPr>
              <w:spacing w:after="80"/>
              <w:jc w:val="center"/>
            </w:pPr>
            <w:r>
              <w:drawing>
                <wp:inline distT="0" distB="0" distL="0" distR="0">
                  <wp:extent cx="1247775" cy="1733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247775" cy="1733550"/>
                          </a:xfrm>
                          <a:prstGeom prst="rect">
                            <a:avLst/>
                          </a:prstGeom>
                        </pic:spPr>
                      </pic:pic>
                    </a:graphicData>
                  </a:graphic>
                </wp:inline>
              </w:drawing>
            </w:r>
          </w:p>
        </w:tc>
        <w:tc>
          <w:tcPr>
            <w:tcW w:type="dxa" w:w="7300"/>
            <w:tcMar>
              <w:top w:type="dxa" w:w="40"/>
              <w:left w:type="dxa" w:w="100"/>
              <w:bottom w:type="dxa" w:w="40"/>
              <w:right w:type="dxa" w:w="40"/>
            </w:tcMar>
          </w:tcPr>
          <w:p>
            <w:pPr>
              <w:spacing w:after="70"/>
              <w:jc w:val="both"/>
            </w:pPr>
            <w:r>
              <w:rPr>
                <w:b/>
                <w:bCs/>
                <w:color w:val="1F3864"/>
                <w:sz w:val="19"/>
                <w:szCs w:val="19"/>
              </w:rPr>
              <w:t xml:space="preserve">Contexto: </w:t>
            </w:r>
            <w:r>
              <w:rPr>
                <w:sz w:val="19"/>
                <w:szCs w:val="19"/>
              </w:rPr>
              <w:t xml:space="preserve">Toma su nombre de la Exposición de Artes Decorativas de París (1925) y se consolida en la sociedad de entreguerras, fascinada por la velocidad, el lujo y el glamour del cine de Hollywood.</w:t>
            </w:r>
          </w:p>
          <w:p>
            <w:pPr>
              <w:spacing w:after="70"/>
              <w:jc w:val="both"/>
            </w:pPr>
            <w:r>
              <w:rPr>
                <w:b/>
                <w:bCs/>
                <w:color w:val="1F3864"/>
                <w:sz w:val="19"/>
                <w:szCs w:val="19"/>
              </w:rPr>
              <w:t xml:space="preserve">Ideología: </w:t>
            </w:r>
            <w:r>
              <w:rPr>
                <w:sz w:val="19"/>
                <w:szCs w:val="19"/>
              </w:rPr>
              <w:t xml:space="preserve">A diferencia de la Bauhaus, no busca austeridad funcionalista sino expresar el optimismo, el dinamismo y el estatus social a través del diseño; el objeto debe comunicar modernidad y placer, no solo funcionar bien.</w:t>
            </w:r>
          </w:p>
          <w:p>
            <w:pPr>
              <w:spacing w:after="70"/>
              <w:jc w:val="both"/>
            </w:pPr>
            <w:r>
              <w:rPr>
                <w:b/>
                <w:bCs/>
                <w:color w:val="1F3864"/>
                <w:sz w:val="19"/>
                <w:szCs w:val="19"/>
              </w:rPr>
              <w:t xml:space="preserve">Influencia formal: </w:t>
            </w:r>
            <w:r>
              <w:rPr>
                <w:sz w:val="19"/>
                <w:szCs w:val="19"/>
              </w:rPr>
              <w:t xml:space="preserve">Geometrías angulosas y simétricas, colores fuertes, materiales exóticos combinados con plásticos y niquelados, motivos inspirados en la naturaleza estilizada (rayos de sol, flora) y en hallazgos como la tumba de Tutankamón.</w:t>
            </w:r>
          </w:p>
          <w:p>
            <w:pPr>
              <w:spacing w:after="70"/>
              <w:jc w:val="both"/>
            </w:pPr>
            <w:r>
              <w:rPr>
                <w:b/>
                <w:bCs/>
                <w:color w:val="1F3864"/>
                <w:sz w:val="19"/>
                <w:szCs w:val="19"/>
              </w:rPr>
              <w:t xml:space="preserve">Cadena de influencias: </w:t>
            </w:r>
            <w:r>
              <w:rPr>
                <w:sz w:val="19"/>
                <w:szCs w:val="19"/>
              </w:rPr>
              <w:t xml:space="preserve">Reacciona contra la austeridad de la Estética de la Máquina recuperando el ornamento, aunque adopta su gusto por la geometría. Es cuestionado tras la Segunda Guerra Mundial por un diseño más práctico y menos ostentoso (Consumismo y Estilo).</w:t>
            </w:r>
          </w:p>
          <w:p>
            <w:pPr>
              <w:spacing w:after="70"/>
              <w:jc w:val="both"/>
            </w:pPr>
            <w:r>
              <w:rPr>
                <w:b/>
                <w:bCs/>
                <w:color w:val="1F3864"/>
                <w:sz w:val="19"/>
                <w:szCs w:val="19"/>
              </w:rPr>
              <w:t xml:space="preserve">Figuras clave: </w:t>
            </w:r>
            <w:r>
              <w:rPr>
                <w:sz w:val="19"/>
                <w:szCs w:val="19"/>
              </w:rPr>
              <w:t xml:space="preserve">A. M. Cassandre, Paul Poiret, arquitectura e interiorismo de los cines de Hollywood.</w:t>
            </w:r>
          </w:p>
        </w:tc>
      </w:tr>
    </w:tbl>
    <w:p>
      <w:pPr>
        <w:pBdr>
          <w:bottom w:val="single" w:color="CCCCCC" w:sz="4" w:space="6"/>
        </w:pBdr>
        <w:spacing w:after="160"/>
      </w:pPr>
      <w:r>
        <w:t xml:space="preserve"/>
      </w:r>
    </w:p>
    <w:p>
      <w:pPr>
        <w:spacing w:after="100" w:before="200"/>
      </w:pPr>
      <w:r>
        <w:rPr>
          <w:b/>
          <w:bCs/>
          <w:color w:val="1F3864"/>
          <w:sz w:val="24"/>
          <w:szCs w:val="24"/>
        </w:rPr>
        <w:t xml:space="preserve">5. Consumismo y Estilo</w:t>
      </w:r>
    </w:p>
    <w:p>
      <w:pPr>
        <w:spacing w:after="100"/>
      </w:pPr>
      <w:r>
        <w:rPr>
          <w:i/>
          <w:iCs/>
          <w:color w:val="666666"/>
          <w:sz w:val="18"/>
          <w:szCs w:val="18"/>
        </w:rPr>
        <w:t xml:space="preserve">1935–1952 · Estados Unidos y Europa</w:t>
      </w:r>
    </w:p>
    <w:tbl>
      <w:tblPr>
        <w:tblW w:type="dxa" w:w="9900"/>
        <w:tblBorders>
          <w:top w:val="none"/>
          <w:left w:val="none"/>
          <w:bottom w:val="none"/>
          <w:right w:val="none"/>
          <w:insideH w:val="none"/>
          <w:insideV w:val="none"/>
        </w:tblBorders>
      </w:tblPr>
      <w:tblGrid>
        <w:gridCol w:w="2600"/>
        <w:gridCol w:w="7300"/>
      </w:tblGrid>
      <w:tr>
        <w:tc>
          <w:tcPr>
            <w:tcW w:type="dxa" w:w="2600"/>
            <w:tcMar>
              <w:top w:type="dxa" w:w="40"/>
              <w:left w:type="dxa" w:w="40"/>
              <w:bottom w:type="dxa" w:w="40"/>
              <w:right w:type="dxa" w:w="100"/>
            </w:tcMar>
          </w:tcPr>
          <w:p>
            <w:pPr>
              <w:spacing w:after="80"/>
              <w:jc w:val="center"/>
            </w:pPr>
            <w:r>
              <w:drawing>
                <wp:inline distT="0" distB="0" distL="0" distR="0">
                  <wp:extent cx="1704975" cy="1733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704975" cy="1733550"/>
                          </a:xfrm>
                          <a:prstGeom prst="rect">
                            <a:avLst/>
                          </a:prstGeom>
                        </pic:spPr>
                      </pic:pic>
                    </a:graphicData>
                  </a:graphic>
                </wp:inline>
              </w:drawing>
            </w:r>
          </w:p>
        </w:tc>
        <w:tc>
          <w:tcPr>
            <w:tcW w:type="dxa" w:w="7300"/>
            <w:tcMar>
              <w:top w:type="dxa" w:w="40"/>
              <w:left w:type="dxa" w:w="100"/>
              <w:bottom w:type="dxa" w:w="40"/>
              <w:right w:type="dxa" w:w="40"/>
            </w:tcMar>
          </w:tcPr>
          <w:p>
            <w:pPr>
              <w:spacing w:after="70"/>
              <w:jc w:val="both"/>
            </w:pPr>
            <w:r>
              <w:rPr>
                <w:b/>
                <w:bCs/>
                <w:color w:val="1F3864"/>
                <w:sz w:val="19"/>
                <w:szCs w:val="19"/>
              </w:rPr>
              <w:t xml:space="preserve">Contexto: </w:t>
            </w:r>
            <w:r>
              <w:rPr>
                <w:sz w:val="19"/>
                <w:szCs w:val="19"/>
              </w:rPr>
              <w:t xml:space="preserve">El diseñador profesional se consolida como figura clave del mercado de masas; el aumento del poder adquisitivo y los nuevos materiales (metales ligeros, plásticos) permiten producir en serie objetos "con estilo" para un público cada vez más amplio.</w:t>
            </w:r>
          </w:p>
          <w:p>
            <w:pPr>
              <w:spacing w:after="70"/>
              <w:jc w:val="both"/>
            </w:pPr>
            <w:r>
              <w:rPr>
                <w:b/>
                <w:bCs/>
                <w:color w:val="1F3864"/>
                <w:sz w:val="19"/>
                <w:szCs w:val="19"/>
              </w:rPr>
              <w:t xml:space="preserve">Ideología: </w:t>
            </w:r>
            <w:r>
              <w:rPr>
                <w:sz w:val="19"/>
                <w:szCs w:val="19"/>
              </w:rPr>
              <w:t xml:space="preserve">El estilo se convierte en argumento de venta: el aerodinamismo ("streamline") no responde a una necesidad funcional real, sino al deseo de expresar modernidad y velocidad incluso en objetos estáticos (tostadoras, neveras).</w:t>
            </w:r>
          </w:p>
          <w:p>
            <w:pPr>
              <w:spacing w:after="70"/>
              <w:jc w:val="both"/>
            </w:pPr>
            <w:r>
              <w:rPr>
                <w:b/>
                <w:bCs/>
                <w:color w:val="1F3864"/>
                <w:sz w:val="19"/>
                <w:szCs w:val="19"/>
              </w:rPr>
              <w:t xml:space="preserve">Influencia formal: </w:t>
            </w:r>
            <w:r>
              <w:rPr>
                <w:sz w:val="19"/>
                <w:szCs w:val="19"/>
              </w:rPr>
              <w:t xml:space="preserve">Formas redondeadas y envolventes que ocultan las partes móviles, superficies lisas y continuas; en paralelo, el diseño escandinavo (Alvar Aalto) propone una alternativa más cálida basada en la madera contrachapada y las formas orgánicas simples.</w:t>
            </w:r>
          </w:p>
          <w:p>
            <w:pPr>
              <w:spacing w:after="70"/>
              <w:jc w:val="both"/>
            </w:pPr>
            <w:r>
              <w:rPr>
                <w:b/>
                <w:bCs/>
                <w:color w:val="1F3864"/>
                <w:sz w:val="19"/>
                <w:szCs w:val="19"/>
              </w:rPr>
              <w:t xml:space="preserve">Cadena de influencias: </w:t>
            </w:r>
            <w:r>
              <w:rPr>
                <w:sz w:val="19"/>
                <w:szCs w:val="19"/>
              </w:rPr>
              <w:t xml:space="preserve">Hereda de la Estética de la Máquina el gusto por la producción en serie, pero rechaza su rigor funcionalista en favor del atractivo comercial. Prepara el terreno para la explosión de consumo de la Era de la Abundancia.</w:t>
            </w:r>
          </w:p>
          <w:p>
            <w:pPr>
              <w:spacing w:after="70"/>
              <w:jc w:val="both"/>
            </w:pPr>
            <w:r>
              <w:rPr>
                <w:b/>
                <w:bCs/>
                <w:color w:val="1F3864"/>
                <w:sz w:val="19"/>
                <w:szCs w:val="19"/>
              </w:rPr>
              <w:t xml:space="preserve">Figuras clave: </w:t>
            </w:r>
            <w:r>
              <w:rPr>
                <w:sz w:val="19"/>
                <w:szCs w:val="19"/>
              </w:rPr>
              <w:t xml:space="preserve">Diseñadores de la industria del automóvil estadounidense, Alvar Aalto.</w:t>
            </w:r>
          </w:p>
        </w:tc>
      </w:tr>
    </w:tbl>
    <w:p>
      <w:pPr>
        <w:pBdr>
          <w:bottom w:val="single" w:color="CCCCCC" w:sz="4" w:space="6"/>
        </w:pBdr>
        <w:spacing w:after="160"/>
      </w:pPr>
      <w:r>
        <w:t xml:space="preserve"/>
      </w:r>
    </w:p>
    <w:p>
      <w:pPr>
        <w:spacing w:after="100" w:before="200"/>
      </w:pPr>
      <w:r>
        <w:rPr>
          <w:b/>
          <w:bCs/>
          <w:color w:val="1F3864"/>
          <w:sz w:val="24"/>
          <w:szCs w:val="24"/>
        </w:rPr>
        <w:t xml:space="preserve">6. La Era de la Abundancia (incl. Pop art)</w:t>
      </w:r>
    </w:p>
    <w:p>
      <w:pPr>
        <w:spacing w:after="100"/>
      </w:pPr>
      <w:r>
        <w:rPr>
          <w:i/>
          <w:iCs/>
          <w:color w:val="666666"/>
          <w:sz w:val="18"/>
          <w:szCs w:val="18"/>
        </w:rPr>
        <w:t xml:space="preserve">1955–1975 · Reino Unido, Estados Unidos, Italia</w:t>
      </w:r>
    </w:p>
    <w:tbl>
      <w:tblPr>
        <w:tblW w:type="dxa" w:w="9900"/>
        <w:tblBorders>
          <w:top w:val="none"/>
          <w:left w:val="none"/>
          <w:bottom w:val="none"/>
          <w:right w:val="none"/>
          <w:insideH w:val="none"/>
          <w:insideV w:val="none"/>
        </w:tblBorders>
      </w:tblPr>
      <w:tblGrid>
        <w:gridCol w:w="2600"/>
        <w:gridCol w:w="7300"/>
      </w:tblGrid>
      <w:tr>
        <w:tc>
          <w:tcPr>
            <w:tcW w:type="dxa" w:w="2600"/>
            <w:tcMar>
              <w:top w:type="dxa" w:w="40"/>
              <w:left w:type="dxa" w:w="40"/>
              <w:bottom w:type="dxa" w:w="40"/>
              <w:right w:type="dxa" w:w="100"/>
            </w:tcMar>
          </w:tcPr>
          <w:p>
            <w:pPr>
              <w:spacing w:after="80"/>
              <w:jc w:val="center"/>
            </w:pPr>
            <w:r>
              <w:drawing>
                <wp:inline distT="0" distB="0" distL="0" distR="0">
                  <wp:extent cx="2105025" cy="1552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2105025" cy="1552575"/>
                          </a:xfrm>
                          <a:prstGeom prst="rect">
                            <a:avLst/>
                          </a:prstGeom>
                        </pic:spPr>
                      </pic:pic>
                    </a:graphicData>
                  </a:graphic>
                </wp:inline>
              </w:drawing>
            </w:r>
          </w:p>
        </w:tc>
        <w:tc>
          <w:tcPr>
            <w:tcW w:type="dxa" w:w="7300"/>
            <w:tcMar>
              <w:top w:type="dxa" w:w="40"/>
              <w:left w:type="dxa" w:w="100"/>
              <w:bottom w:type="dxa" w:w="40"/>
              <w:right w:type="dxa" w:w="40"/>
            </w:tcMar>
          </w:tcPr>
          <w:p>
            <w:pPr>
              <w:spacing w:after="70"/>
              <w:jc w:val="both"/>
            </w:pPr>
            <w:r>
              <w:rPr>
                <w:b/>
                <w:bCs/>
                <w:color w:val="1F3864"/>
                <w:sz w:val="19"/>
                <w:szCs w:val="19"/>
              </w:rPr>
              <w:t xml:space="preserve">Contexto: </w:t>
            </w:r>
            <w:r>
              <w:rPr>
                <w:sz w:val="19"/>
                <w:szCs w:val="19"/>
              </w:rPr>
              <w:t xml:space="preserve">Superada la austeridad de posguerra, un periodo de optimismo económico y expansión de la cultura de masas —música pop, publicidad, cómic— da lugar a una nueva sensibilidad, sobre todo entre el público juvenil.</w:t>
            </w:r>
          </w:p>
          <w:p>
            <w:pPr>
              <w:spacing w:after="70"/>
              <w:jc w:val="both"/>
            </w:pPr>
            <w:r>
              <w:rPr>
                <w:b/>
                <w:bCs/>
                <w:color w:val="1F3864"/>
                <w:sz w:val="19"/>
                <w:szCs w:val="19"/>
              </w:rPr>
              <w:t xml:space="preserve">Ideología: </w:t>
            </w:r>
            <w:r>
              <w:rPr>
                <w:sz w:val="19"/>
                <w:szCs w:val="19"/>
              </w:rPr>
              <w:t xml:space="preserve">El Pop cuestiona la idea de "buen gusto" único defendida por el funcionalismo: celebra lo efímero, lo "usar y tirar", y borra la frontera entre alta cultura y cultura popular.</w:t>
            </w:r>
          </w:p>
          <w:p>
            <w:pPr>
              <w:spacing w:after="70"/>
              <w:jc w:val="both"/>
            </w:pPr>
            <w:r>
              <w:rPr>
                <w:b/>
                <w:bCs/>
                <w:color w:val="1F3864"/>
                <w:sz w:val="19"/>
                <w:szCs w:val="19"/>
              </w:rPr>
              <w:t xml:space="preserve">Influencia formal: </w:t>
            </w:r>
            <w:r>
              <w:rPr>
                <w:sz w:val="19"/>
                <w:szCs w:val="19"/>
              </w:rPr>
              <w:t xml:space="preserve">Colores saturados, formas orgánicas o geométricas exageradas, materiales nuevos como el plástico inflable o la espuma de poliuretano; iconografía tomada de la publicidad y el cómic (Warhol, Lichtenstein).</w:t>
            </w:r>
          </w:p>
          <w:p>
            <w:pPr>
              <w:spacing w:after="70"/>
              <w:jc w:val="both"/>
            </w:pPr>
            <w:r>
              <w:rPr>
                <w:b/>
                <w:bCs/>
                <w:color w:val="1F3864"/>
                <w:sz w:val="19"/>
                <w:szCs w:val="19"/>
              </w:rPr>
              <w:t xml:space="preserve">Cadena de influencias: </w:t>
            </w:r>
            <w:r>
              <w:rPr>
                <w:sz w:val="19"/>
                <w:szCs w:val="19"/>
              </w:rPr>
              <w:t xml:space="preserve">Rechaza el "menos es más" de la Estética de la Máquina y recupera, de forma paródica, motivos de Art Nouveau, Art Deco y otros estilos anteriores. Abre camino directamente al Posmodernismo de los años setenta y ochenta.</w:t>
            </w:r>
          </w:p>
          <w:p>
            <w:pPr>
              <w:spacing w:after="70"/>
              <w:jc w:val="both"/>
            </w:pPr>
            <w:r>
              <w:rPr>
                <w:b/>
                <w:bCs/>
                <w:color w:val="1F3864"/>
                <w:sz w:val="19"/>
                <w:szCs w:val="19"/>
              </w:rPr>
              <w:t xml:space="preserve">Figuras clave: </w:t>
            </w:r>
            <w:r>
              <w:rPr>
                <w:sz w:val="19"/>
                <w:szCs w:val="19"/>
              </w:rPr>
              <w:t xml:space="preserve">Andy Warhol, Roy Lichtenstein, Eero Aarnio, Pierre Paulin, Studio 65.</w:t>
            </w:r>
          </w:p>
        </w:tc>
      </w:tr>
    </w:tbl>
    <w:p>
      <w:pPr>
        <w:pBdr>
          <w:bottom w:val="single" w:color="CCCCCC" w:sz="4" w:space="6"/>
        </w:pBdr>
        <w:spacing w:after="160"/>
      </w:pPr>
      <w:r>
        <w:t xml:space="preserve"/>
      </w:r>
    </w:p>
    <w:p>
      <w:pPr>
        <w:spacing w:after="100" w:before="200"/>
      </w:pPr>
      <w:r>
        <w:rPr>
          <w:b/>
          <w:bCs/>
          <w:color w:val="1F3864"/>
          <w:sz w:val="24"/>
          <w:szCs w:val="24"/>
        </w:rPr>
        <w:t xml:space="preserve">7. El estilo desde 1970 hasta 1990 (Posmodernismo)</w:t>
      </w:r>
    </w:p>
    <w:p>
      <w:pPr>
        <w:spacing w:after="100"/>
      </w:pPr>
      <w:r>
        <w:rPr>
          <w:i/>
          <w:iCs/>
          <w:color w:val="666666"/>
          <w:sz w:val="18"/>
          <w:szCs w:val="18"/>
        </w:rPr>
        <w:t xml:space="preserve">1970–1990 · Internacional</w:t>
      </w:r>
    </w:p>
    <w:tbl>
      <w:tblPr>
        <w:tblW w:type="dxa" w:w="9900"/>
        <w:tblBorders>
          <w:top w:val="none"/>
          <w:left w:val="none"/>
          <w:bottom w:val="none"/>
          <w:right w:val="none"/>
          <w:insideH w:val="none"/>
          <w:insideV w:val="none"/>
        </w:tblBorders>
      </w:tblPr>
      <w:tblGrid>
        <w:gridCol w:w="2600"/>
        <w:gridCol w:w="7300"/>
      </w:tblGrid>
      <w:tr>
        <w:tc>
          <w:tcPr>
            <w:tcW w:type="dxa" w:w="2600"/>
            <w:tcMar>
              <w:top w:type="dxa" w:w="40"/>
              <w:left w:type="dxa" w:w="40"/>
              <w:bottom w:type="dxa" w:w="40"/>
              <w:right w:type="dxa" w:w="100"/>
            </w:tcMar>
          </w:tcPr>
          <w:p>
            <w:pPr>
              <w:spacing w:after="80"/>
              <w:jc w:val="center"/>
            </w:pPr>
            <w:r>
              <w:drawing>
                <wp:inline distT="0" distB="0" distL="0" distR="0">
                  <wp:extent cx="2105025" cy="1514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2105025" cy="1514475"/>
                          </a:xfrm>
                          <a:prstGeom prst="rect">
                            <a:avLst/>
                          </a:prstGeom>
                        </pic:spPr>
                      </pic:pic>
                    </a:graphicData>
                  </a:graphic>
                </wp:inline>
              </w:drawing>
            </w:r>
          </w:p>
        </w:tc>
        <w:tc>
          <w:tcPr>
            <w:tcW w:type="dxa" w:w="7300"/>
            <w:tcMar>
              <w:top w:type="dxa" w:w="40"/>
              <w:left w:type="dxa" w:w="100"/>
              <w:bottom w:type="dxa" w:w="40"/>
              <w:right w:type="dxa" w:w="40"/>
            </w:tcMar>
          </w:tcPr>
          <w:p>
            <w:pPr>
              <w:spacing w:after="70"/>
              <w:jc w:val="both"/>
            </w:pPr>
            <w:r>
              <w:rPr>
                <w:b/>
                <w:bCs/>
                <w:color w:val="1F3864"/>
                <w:sz w:val="19"/>
                <w:szCs w:val="19"/>
              </w:rPr>
              <w:t xml:space="preserve">Contexto: </w:t>
            </w:r>
            <w:r>
              <w:rPr>
                <w:sz w:val="19"/>
                <w:szCs w:val="19"/>
              </w:rPr>
              <w:t xml:space="preserve">El consumismo masivo de posguerra entra en crisis; a la vez, la revolución de la microelectrónica (calculadoras, ordenadores personales, Walkman) transforma los objetos cotidianos y exige nuevas respuestas formales.</w:t>
            </w:r>
          </w:p>
          <w:p>
            <w:pPr>
              <w:spacing w:after="70"/>
              <w:jc w:val="both"/>
            </w:pPr>
            <w:r>
              <w:rPr>
                <w:b/>
                <w:bCs/>
                <w:color w:val="1F3864"/>
                <w:sz w:val="19"/>
                <w:szCs w:val="19"/>
              </w:rPr>
              <w:t xml:space="preserve">Ideología: </w:t>
            </w:r>
            <w:r>
              <w:rPr>
                <w:sz w:val="19"/>
                <w:szCs w:val="19"/>
              </w:rPr>
              <w:t xml:space="preserve">El arquitecto Robert Venturi resume el espíritu de la época con su réplica al "menos es más": "menos es un aburrimiento". El diseño recupera el humor, el color y la referencia histórica frente a la seriedad del funcionalismo.</w:t>
            </w:r>
          </w:p>
          <w:p>
            <w:pPr>
              <w:spacing w:after="70"/>
              <w:jc w:val="both"/>
            </w:pPr>
            <w:r>
              <w:rPr>
                <w:b/>
                <w:bCs/>
                <w:color w:val="1F3864"/>
                <w:sz w:val="19"/>
                <w:szCs w:val="19"/>
              </w:rPr>
              <w:t xml:space="preserve">Influencia formal: </w:t>
            </w:r>
            <w:r>
              <w:rPr>
                <w:sz w:val="19"/>
                <w:szCs w:val="19"/>
              </w:rPr>
              <w:t xml:space="preserve">Combinación irónica de referencias históricas y formas geométricas simples, color y humor en objetos cotidianos, contraste entre alta tecnología (superficies industriales) y ornamento decorativo (grupo Memphis).</w:t>
            </w:r>
          </w:p>
          <w:p>
            <w:pPr>
              <w:spacing w:after="70"/>
              <w:jc w:val="both"/>
            </w:pPr>
            <w:r>
              <w:rPr>
                <w:b/>
                <w:bCs/>
                <w:color w:val="1F3864"/>
                <w:sz w:val="19"/>
                <w:szCs w:val="19"/>
              </w:rPr>
              <w:t xml:space="preserve">Cadena de influencias: </w:t>
            </w:r>
            <w:r>
              <w:rPr>
                <w:sz w:val="19"/>
                <w:szCs w:val="19"/>
              </w:rPr>
              <w:t xml:space="preserve">Reacciona contra el funcionalismo de la Estética de la Máquina y contra la seriedad del "buen diseño", pero hereda del Pop la libertad para mezclar referencias y romper la jerarquía entre estilos. Cierra, de momento, la cadena de movimientos de este temario.</w:t>
            </w:r>
          </w:p>
          <w:p>
            <w:pPr>
              <w:spacing w:after="70"/>
              <w:jc w:val="both"/>
            </w:pPr>
            <w:r>
              <w:rPr>
                <w:b/>
                <w:bCs/>
                <w:color w:val="1F3864"/>
                <w:sz w:val="19"/>
                <w:szCs w:val="19"/>
              </w:rPr>
              <w:t xml:space="preserve">Figuras clave: </w:t>
            </w:r>
            <w:r>
              <w:rPr>
                <w:sz w:val="19"/>
                <w:szCs w:val="19"/>
              </w:rPr>
              <w:t xml:space="preserve">Robert Venturi, Ettore Sottsass (grupo Memphis), Michael Graves.</w:t>
            </w:r>
          </w:p>
        </w:tc>
      </w:tr>
    </w:tbl>
    <w:p>
      <w:pPr>
        <w:pBdr>
          <w:bottom w:val="single" w:color="CCCCCC" w:sz="4" w:space="6"/>
        </w:pBdr>
        <w:spacing w:after="160"/>
      </w:pPr>
      <w:r>
        <w:t xml:space="preserve"/>
      </w:r>
    </w:p>
    <w:p>
      <w:r>
        <w:br w:type="page"/>
      </w:r>
    </w:p>
    <w:p>
      <w:pPr>
        <w:pStyle w:val="Heading1"/>
        <w:spacing w:after="140" w:before="320"/>
      </w:pPr>
      <w:r>
        <w:t xml:space="preserve">4. Glosario de términos clave</w:t>
      </w:r>
    </w:p>
    <w:tbl>
      <w:tblPr>
        <w:tblW w:type="dxa" w:w="9900"/>
        <w:tblBorders>
          <w:top w:val="single" w:color="auto" w:sz="4"/>
          <w:left w:val="single" w:color="auto" w:sz="4"/>
          <w:bottom w:val="single" w:color="auto" w:sz="4"/>
          <w:right w:val="single" w:color="auto" w:sz="4"/>
          <w:insideH w:val="single" w:color="auto" w:sz="4"/>
          <w:insideV w:val="single" w:color="auto" w:sz="4"/>
        </w:tblBorders>
      </w:tblPr>
      <w:tblGrid>
        <w:gridCol w:w="2600"/>
        <w:gridCol w:w="7300"/>
      </w:tblGrid>
      <w:tr>
        <w:tc>
          <w:tcPr>
            <w:tcW w:type="dxa" w:w="2600"/>
            <w:tcMar>
              <w:top w:type="dxa" w:w="70"/>
              <w:left w:type="dxa" w:w="90"/>
              <w:bottom w:type="dxa" w:w="70"/>
              <w:right w:type="dxa" w:w="90"/>
            </w:tcMar>
            <w:vAlign w:val="center"/>
          </w:tcPr>
          <w:p>
            <w:r>
              <w:rPr>
                <w:b/>
                <w:bCs/>
                <w:sz w:val="16"/>
                <w:szCs w:val="16"/>
              </w:rPr>
              <w:t xml:space="preserve">Influencia formal</w:t>
            </w:r>
          </w:p>
        </w:tc>
        <w:tc>
          <w:tcPr>
            <w:tcW w:type="dxa" w:w="7300"/>
            <w:tcMar>
              <w:top w:type="dxa" w:w="70"/>
              <w:left w:type="dxa" w:w="90"/>
              <w:bottom w:type="dxa" w:w="70"/>
              <w:right w:type="dxa" w:w="90"/>
            </w:tcMar>
            <w:vAlign w:val="center"/>
          </w:tcPr>
          <w:p>
            <w:r>
              <w:rPr>
                <w:b w:val="false"/>
                <w:bCs w:val="false"/>
                <w:sz w:val="16"/>
                <w:szCs w:val="16"/>
              </w:rPr>
              <w:t xml:space="preserve">Trasvase directo de líneas, colores, geometrías o materiales desde el arte al diseño.</w:t>
            </w:r>
          </w:p>
        </w:tc>
      </w:tr>
      <w:tr>
        <w:tc>
          <w:tcPr>
            <w:tcW w:type="dxa" w:w="2600"/>
            <w:shd w:fill="F2F2F2" w:color="auto" w:val="clear"/>
            <w:tcMar>
              <w:top w:type="dxa" w:w="70"/>
              <w:left w:type="dxa" w:w="90"/>
              <w:bottom w:type="dxa" w:w="70"/>
              <w:right w:type="dxa" w:w="90"/>
            </w:tcMar>
            <w:vAlign w:val="center"/>
          </w:tcPr>
          <w:p>
            <w:r>
              <w:rPr>
                <w:b/>
                <w:bCs/>
                <w:sz w:val="16"/>
                <w:szCs w:val="16"/>
              </w:rPr>
              <w:t xml:space="preserve">Influencia ideológica</w:t>
            </w:r>
          </w:p>
        </w:tc>
        <w:tc>
          <w:tcPr>
            <w:tcW w:type="dxa" w:w="7300"/>
            <w:shd w:fill="F2F2F2" w:color="auto" w:val="clear"/>
            <w:tcMar>
              <w:top w:type="dxa" w:w="70"/>
              <w:left w:type="dxa" w:w="90"/>
              <w:bottom w:type="dxa" w:w="70"/>
              <w:right w:type="dxa" w:w="90"/>
            </w:tcMar>
            <w:vAlign w:val="center"/>
          </w:tcPr>
          <w:p>
            <w:r>
              <w:rPr>
                <w:b w:val="false"/>
                <w:bCs w:val="false"/>
                <w:sz w:val="16"/>
                <w:szCs w:val="16"/>
              </w:rPr>
              <w:t xml:space="preserve">Forma en que un movimiento entiende la sociedad, la técnica o el papel del individuo, y que condiciona para qué y para quién se diseña.</w:t>
            </w:r>
          </w:p>
        </w:tc>
      </w:tr>
      <w:tr>
        <w:tc>
          <w:tcPr>
            <w:tcW w:type="dxa" w:w="2600"/>
            <w:tcMar>
              <w:top w:type="dxa" w:w="70"/>
              <w:left w:type="dxa" w:w="90"/>
              <w:bottom w:type="dxa" w:w="70"/>
              <w:right w:type="dxa" w:w="90"/>
            </w:tcMar>
            <w:vAlign w:val="center"/>
          </w:tcPr>
          <w:p>
            <w:r>
              <w:rPr>
                <w:b/>
                <w:bCs/>
                <w:sz w:val="16"/>
                <w:szCs w:val="16"/>
              </w:rPr>
              <w:t xml:space="preserve">Cadena de influencias</w:t>
            </w:r>
          </w:p>
        </w:tc>
        <w:tc>
          <w:tcPr>
            <w:tcW w:type="dxa" w:w="7300"/>
            <w:tcMar>
              <w:top w:type="dxa" w:w="70"/>
              <w:left w:type="dxa" w:w="90"/>
              <w:bottom w:type="dxa" w:w="70"/>
              <w:right w:type="dxa" w:w="90"/>
            </w:tcMar>
            <w:vAlign w:val="center"/>
          </w:tcPr>
          <w:p>
            <w:r>
              <w:rPr>
                <w:b w:val="false"/>
                <w:bCs w:val="false"/>
                <w:sz w:val="16"/>
                <w:szCs w:val="16"/>
              </w:rPr>
              <w:t xml:space="preserve">Relación de continuidad y ruptura por la que cada movimiento hereda algunas ideas del anterior y rechaza otras.</w:t>
            </w:r>
          </w:p>
        </w:tc>
      </w:tr>
      <w:tr>
        <w:tc>
          <w:tcPr>
            <w:tcW w:type="dxa" w:w="2600"/>
            <w:shd w:fill="F2F2F2" w:color="auto" w:val="clear"/>
            <w:tcMar>
              <w:top w:type="dxa" w:w="70"/>
              <w:left w:type="dxa" w:w="90"/>
              <w:bottom w:type="dxa" w:w="70"/>
              <w:right w:type="dxa" w:w="90"/>
            </w:tcMar>
            <w:vAlign w:val="center"/>
          </w:tcPr>
          <w:p>
            <w:r>
              <w:rPr>
                <w:b/>
                <w:bCs/>
                <w:sz w:val="16"/>
                <w:szCs w:val="16"/>
              </w:rPr>
              <w:t xml:space="preserve">Funcionalismo</w:t>
            </w:r>
          </w:p>
        </w:tc>
        <w:tc>
          <w:tcPr>
            <w:tcW w:type="dxa" w:w="7300"/>
            <w:shd w:fill="F2F2F2" w:color="auto" w:val="clear"/>
            <w:tcMar>
              <w:top w:type="dxa" w:w="70"/>
              <w:left w:type="dxa" w:w="90"/>
              <w:bottom w:type="dxa" w:w="70"/>
              <w:right w:type="dxa" w:w="90"/>
            </w:tcMar>
            <w:vAlign w:val="center"/>
          </w:tcPr>
          <w:p>
            <w:r>
              <w:rPr>
                <w:b w:val="false"/>
                <w:bCs w:val="false"/>
                <w:sz w:val="16"/>
                <w:szCs w:val="16"/>
              </w:rPr>
              <w:t xml:space="preserve">Principio según el cual la forma de un objeto debe derivarse de su función, sin elementos decorativos superfluos.</w:t>
            </w:r>
          </w:p>
        </w:tc>
      </w:tr>
      <w:tr>
        <w:tc>
          <w:tcPr>
            <w:tcW w:type="dxa" w:w="2600"/>
            <w:tcMar>
              <w:top w:type="dxa" w:w="70"/>
              <w:left w:type="dxa" w:w="90"/>
              <w:bottom w:type="dxa" w:w="70"/>
              <w:right w:type="dxa" w:w="90"/>
            </w:tcMar>
            <w:vAlign w:val="center"/>
          </w:tcPr>
          <w:p>
            <w:r>
              <w:rPr>
                <w:b/>
                <w:bCs/>
                <w:sz w:val="16"/>
                <w:szCs w:val="16"/>
              </w:rPr>
              <w:t xml:space="preserve">Ornamento</w:t>
            </w:r>
          </w:p>
        </w:tc>
        <w:tc>
          <w:tcPr>
            <w:tcW w:type="dxa" w:w="7300"/>
            <w:tcMar>
              <w:top w:type="dxa" w:w="70"/>
              <w:left w:type="dxa" w:w="90"/>
              <w:bottom w:type="dxa" w:w="70"/>
              <w:right w:type="dxa" w:w="90"/>
            </w:tcMar>
            <w:vAlign w:val="center"/>
          </w:tcPr>
          <w:p>
            <w:r>
              <w:rPr>
                <w:b w:val="false"/>
                <w:bCs w:val="false"/>
                <w:sz w:val="16"/>
                <w:szCs w:val="16"/>
              </w:rPr>
              <w:t xml:space="preserve">Elemento decorativo añadido a un objeto o edificio más allá de su estricta función.</w:t>
            </w:r>
          </w:p>
        </w:tc>
      </w:tr>
      <w:tr>
        <w:tc>
          <w:tcPr>
            <w:tcW w:type="dxa" w:w="2600"/>
            <w:shd w:fill="F2F2F2" w:color="auto" w:val="clear"/>
            <w:tcMar>
              <w:top w:type="dxa" w:w="70"/>
              <w:left w:type="dxa" w:w="90"/>
              <w:bottom w:type="dxa" w:w="70"/>
              <w:right w:type="dxa" w:w="90"/>
            </w:tcMar>
            <w:vAlign w:val="center"/>
          </w:tcPr>
          <w:p>
            <w:r>
              <w:rPr>
                <w:b/>
                <w:bCs/>
                <w:sz w:val="16"/>
                <w:szCs w:val="16"/>
              </w:rPr>
              <w:t xml:space="preserve">Producción en serie</w:t>
            </w:r>
          </w:p>
        </w:tc>
        <w:tc>
          <w:tcPr>
            <w:tcW w:type="dxa" w:w="7300"/>
            <w:shd w:fill="F2F2F2" w:color="auto" w:val="clear"/>
            <w:tcMar>
              <w:top w:type="dxa" w:w="70"/>
              <w:left w:type="dxa" w:w="90"/>
              <w:bottom w:type="dxa" w:w="70"/>
              <w:right w:type="dxa" w:w="90"/>
            </w:tcMar>
            <w:vAlign w:val="center"/>
          </w:tcPr>
          <w:p>
            <w:r>
              <w:rPr>
                <w:b w:val="false"/>
                <w:bCs w:val="false"/>
                <w:sz w:val="16"/>
                <w:szCs w:val="16"/>
              </w:rPr>
              <w:t xml:space="preserve">Fabricación industrial de un mismo objeto en grandes cantidades y de forma estandarizada.</w:t>
            </w:r>
          </w:p>
        </w:tc>
      </w:tr>
      <w:tr>
        <w:tc>
          <w:tcPr>
            <w:tcW w:type="dxa" w:w="2600"/>
            <w:tcMar>
              <w:top w:type="dxa" w:w="70"/>
              <w:left w:type="dxa" w:w="90"/>
              <w:bottom w:type="dxa" w:w="70"/>
              <w:right w:type="dxa" w:w="90"/>
            </w:tcMar>
            <w:vAlign w:val="center"/>
          </w:tcPr>
          <w:p>
            <w:r>
              <w:rPr>
                <w:b/>
                <w:bCs/>
                <w:sz w:val="16"/>
                <w:szCs w:val="16"/>
              </w:rPr>
              <w:t xml:space="preserve">Aerodinamismo ("streamline")</w:t>
            </w:r>
          </w:p>
        </w:tc>
        <w:tc>
          <w:tcPr>
            <w:tcW w:type="dxa" w:w="7300"/>
            <w:tcMar>
              <w:top w:type="dxa" w:w="70"/>
              <w:left w:type="dxa" w:w="90"/>
              <w:bottom w:type="dxa" w:w="70"/>
              <w:right w:type="dxa" w:w="90"/>
            </w:tcMar>
            <w:vAlign w:val="center"/>
          </w:tcPr>
          <w:p>
            <w:r>
              <w:rPr>
                <w:b w:val="false"/>
                <w:bCs w:val="false"/>
                <w:sz w:val="16"/>
                <w:szCs w:val="16"/>
              </w:rPr>
              <w:t xml:space="preserve">Estilo que da a los objetos una forma redondeada y envolvente asociada a la velocidad, aunque no siempre responda a una necesidad funcional real.</w:t>
            </w:r>
          </w:p>
        </w:tc>
      </w:tr>
      <w:tr>
        <w:tc>
          <w:tcPr>
            <w:tcW w:type="dxa" w:w="2600"/>
            <w:shd w:fill="F2F2F2" w:color="auto" w:val="clear"/>
            <w:tcMar>
              <w:top w:type="dxa" w:w="70"/>
              <w:left w:type="dxa" w:w="90"/>
              <w:bottom w:type="dxa" w:w="70"/>
              <w:right w:type="dxa" w:w="90"/>
            </w:tcMar>
            <w:vAlign w:val="center"/>
          </w:tcPr>
          <w:p>
            <w:r>
              <w:rPr>
                <w:b/>
                <w:bCs/>
                <w:sz w:val="16"/>
                <w:szCs w:val="16"/>
              </w:rPr>
              <w:t xml:space="preserve">Posmodernismo</w:t>
            </w:r>
          </w:p>
        </w:tc>
        <w:tc>
          <w:tcPr>
            <w:tcW w:type="dxa" w:w="7300"/>
            <w:shd w:fill="F2F2F2" w:color="auto" w:val="clear"/>
            <w:tcMar>
              <w:top w:type="dxa" w:w="70"/>
              <w:left w:type="dxa" w:w="90"/>
              <w:bottom w:type="dxa" w:w="70"/>
              <w:right w:type="dxa" w:w="90"/>
            </w:tcMar>
            <w:vAlign w:val="center"/>
          </w:tcPr>
          <w:p>
            <w:r>
              <w:rPr>
                <w:b w:val="false"/>
                <w:bCs w:val="false"/>
                <w:sz w:val="16"/>
                <w:szCs w:val="16"/>
              </w:rPr>
              <w:t xml:space="preserve">Corriente que, desde los años setenta, reacciona contra el funcionalismo recuperando el ornamento, el color, el humor y la cita histórica.</w:t>
            </w:r>
          </w:p>
        </w:tc>
      </w:tr>
      <w:tr>
        <w:tc>
          <w:tcPr>
            <w:tcW w:type="dxa" w:w="2600"/>
            <w:tcMar>
              <w:top w:type="dxa" w:w="70"/>
              <w:left w:type="dxa" w:w="90"/>
              <w:bottom w:type="dxa" w:w="70"/>
              <w:right w:type="dxa" w:w="90"/>
            </w:tcMar>
            <w:vAlign w:val="center"/>
          </w:tcPr>
          <w:p>
            <w:r>
              <w:rPr>
                <w:b/>
                <w:bCs/>
                <w:sz w:val="16"/>
                <w:szCs w:val="16"/>
              </w:rPr>
              <w:t xml:space="preserve">Escuela pedagógica</w:t>
            </w:r>
          </w:p>
        </w:tc>
        <w:tc>
          <w:tcPr>
            <w:tcW w:type="dxa" w:w="7300"/>
            <w:tcMar>
              <w:top w:type="dxa" w:w="70"/>
              <w:left w:type="dxa" w:w="90"/>
              <w:bottom w:type="dxa" w:w="70"/>
              <w:right w:type="dxa" w:w="90"/>
            </w:tcMar>
            <w:vAlign w:val="center"/>
          </w:tcPr>
          <w:p>
            <w:r>
              <w:rPr>
                <w:b w:val="false"/>
                <w:bCs w:val="false"/>
                <w:sz w:val="16"/>
                <w:szCs w:val="16"/>
              </w:rPr>
              <w:t xml:space="preserve">Institución (como la Bauhaus) que enseña el arte y el oficio del diseño como una sola disciplina, con un programa formativo propio.</w:t>
            </w:r>
          </w:p>
        </w:tc>
      </w:tr>
    </w:tbl>
    <w:p>
      <w:pPr>
        <w:pStyle w:val="Heading1"/>
        <w:spacing w:after="140" w:before="320"/>
      </w:pPr>
      <w:r>
        <w:t xml:space="preserve">5. Guía rápida para responder el examen</w:t>
      </w:r>
    </w:p>
    <w:p>
      <w:pPr>
        <w:spacing w:after="60" w:before="140"/>
      </w:pPr>
      <w:r>
        <w:rPr>
          <w:b/>
          <w:bCs/>
          <w:sz w:val="20"/>
          <w:szCs w:val="20"/>
        </w:rPr>
        <w:t xml:space="preserve">a) Resumen del texto (máx. 15 líneas)</w:t>
      </w:r>
    </w:p>
    <w:p>
      <w:pPr>
        <w:pStyle w:val="ListParagraph"/>
        <w:numPr>
          <w:ilvl w:val="0"/>
          <w:numId w:val="1"/>
        </w:numPr>
        <w:spacing w:after="60"/>
      </w:pPr>
      <w:r>
        <w:t xml:space="preserve">Recoge las ideas clave: influencia formal, influencia ideológica, traducción no literal del arte al diseño, y cadena de influencias.</w:t>
      </w:r>
    </w:p>
    <w:p>
      <w:pPr>
        <w:pStyle w:val="ListParagraph"/>
        <w:numPr>
          <w:ilvl w:val="0"/>
          <w:numId w:val="1"/>
        </w:numPr>
        <w:spacing w:after="60"/>
      </w:pPr>
      <w:r>
        <w:t xml:space="preserve">Usa palabras propias; no copies frases del texto original.</w:t>
      </w:r>
    </w:p>
    <w:p>
      <w:pPr>
        <w:pStyle w:val="ListParagraph"/>
        <w:numPr>
          <w:ilvl w:val="0"/>
          <w:numId w:val="1"/>
        </w:numPr>
        <w:spacing w:after="60"/>
      </w:pPr>
      <w:r>
        <w:t xml:space="preserve">Organiza el resumen en el mismo orden en que aparecen las ideas en el texto.</w:t>
      </w:r>
    </w:p>
    <w:p>
      <w:pPr>
        <w:spacing w:after="60" w:before="140"/>
      </w:pPr>
      <w:r>
        <w:rPr>
          <w:b/>
          <w:bCs/>
          <w:sz w:val="20"/>
          <w:szCs w:val="20"/>
        </w:rPr>
        <w:t xml:space="preserve">b) Exposición razonada de un movimiento</w:t>
      </w:r>
    </w:p>
    <w:p>
      <w:pPr>
        <w:pStyle w:val="ListParagraph"/>
        <w:numPr>
          <w:ilvl w:val="0"/>
          <w:numId w:val="1"/>
        </w:numPr>
        <w:spacing w:after="60"/>
      </w:pPr>
      <w:r>
        <w:t xml:space="preserve">Sitúa el movimiento en el tiempo y el lugar (usa la tabla de cronología).</w:t>
      </w:r>
    </w:p>
    <w:p>
      <w:pPr>
        <w:pStyle w:val="ListParagraph"/>
        <w:numPr>
          <w:ilvl w:val="0"/>
          <w:numId w:val="1"/>
        </w:numPr>
        <w:spacing w:after="60"/>
      </w:pPr>
      <w:r>
        <w:t xml:space="preserve">Explica su contexto histórico: ¿a qué reacciona?</w:t>
      </w:r>
    </w:p>
    <w:p>
      <w:pPr>
        <w:pStyle w:val="ListParagraph"/>
        <w:numPr>
          <w:ilvl w:val="0"/>
          <w:numId w:val="1"/>
        </w:numPr>
        <w:spacing w:after="60"/>
      </w:pPr>
      <w:r>
        <w:t xml:space="preserve">Describe su influencia formal con ejemplos concretos (objetos, edificios, carteles).</w:t>
      </w:r>
    </w:p>
    <w:p>
      <w:pPr>
        <w:pStyle w:val="ListParagraph"/>
        <w:numPr>
          <w:ilvl w:val="0"/>
          <w:numId w:val="1"/>
        </w:numPr>
        <w:spacing w:after="60"/>
      </w:pPr>
      <w:r>
        <w:t xml:space="preserve">Explica su influencia ideológica: ¿qué visión de la sociedad o la técnica defiende?</w:t>
      </w:r>
    </w:p>
    <w:p>
      <w:pPr>
        <w:pStyle w:val="ListParagraph"/>
        <w:numPr>
          <w:ilvl w:val="0"/>
          <w:numId w:val="1"/>
        </w:numPr>
        <w:spacing w:after="60"/>
      </w:pPr>
      <w:r>
        <w:t xml:space="preserve">Sitúalo en la cadena de influencias: de qué movimiento anterior bebe y a cuál da paso.</w:t>
      </w:r>
    </w:p>
    <w:p>
      <w:pPr>
        <w:spacing w:after="60" w:before="140"/>
      </w:pPr>
      <w:r>
        <w:rPr>
          <w:b/>
          <w:bCs/>
          <w:sz w:val="20"/>
          <w:szCs w:val="20"/>
        </w:rPr>
        <w:t xml:space="preserve">c) Valoración de la influencia del arte en el diseño</w:t>
      </w:r>
    </w:p>
    <w:p>
      <w:pPr>
        <w:pStyle w:val="ListParagraph"/>
        <w:numPr>
          <w:ilvl w:val="0"/>
          <w:numId w:val="1"/>
        </w:numPr>
        <w:spacing w:after="60"/>
      </w:pPr>
      <w:r>
        <w:t xml:space="preserve">Argumenta con al menos un ejemplo de influencia formal y uno de influencia ideológica.</w:t>
      </w:r>
    </w:p>
    <w:p>
      <w:pPr>
        <w:pStyle w:val="ListParagraph"/>
        <w:numPr>
          <w:ilvl w:val="0"/>
          <w:numId w:val="1"/>
        </w:numPr>
        <w:spacing w:after="60"/>
      </w:pPr>
      <w:r>
        <w:t xml:space="preserve">Explica por qué la traducción del arte al diseño nunca es una copia literal.</w:t>
      </w:r>
    </w:p>
    <w:p>
      <w:pPr>
        <w:pStyle w:val="ListParagraph"/>
        <w:numPr>
          <w:ilvl w:val="0"/>
          <w:numId w:val="1"/>
        </w:numPr>
        <w:spacing w:after="60"/>
      </w:pPr>
      <w:r>
        <w:t xml:space="preserve">Si es posible, menciona la cadena de influencias como prueba de que el diálogo arte-diseño es constante, no puntual.</w:t>
      </w:r>
    </w:p>
    <w:p>
      <w:pPr>
        <w:spacing w:after="60" w:before="140"/>
      </w:pPr>
      <w:r>
        <w:rPr>
          <w:b/>
          <w:bCs/>
          <w:sz w:val="20"/>
          <w:szCs w:val="20"/>
        </w:rPr>
        <w:t xml:space="preserve">Parte B) Análisis de una imagen</w:t>
      </w:r>
    </w:p>
    <w:p>
      <w:pPr>
        <w:pStyle w:val="ListParagraph"/>
        <w:numPr>
          <w:ilvl w:val="0"/>
          <w:numId w:val="1"/>
        </w:numPr>
        <w:spacing w:after="60"/>
      </w:pPr>
      <w:r>
        <w:t xml:space="preserve">1. Identifica el tipo de diseño (cartel, portada, marca, producto, espacio interior, moda...).</w:t>
      </w:r>
    </w:p>
    <w:p>
      <w:pPr>
        <w:pStyle w:val="ListParagraph"/>
        <w:numPr>
          <w:ilvl w:val="0"/>
          <w:numId w:val="1"/>
        </w:numPr>
        <w:spacing w:after="60"/>
      </w:pPr>
      <w:r>
        <w:t xml:space="preserve">2. Describe los aspectos formales: forma, color, composición, volumen, espacio.</w:t>
      </w:r>
    </w:p>
    <w:p>
      <w:pPr>
        <w:pStyle w:val="ListParagraph"/>
        <w:numPr>
          <w:ilvl w:val="0"/>
          <w:numId w:val="1"/>
        </w:numPr>
        <w:spacing w:after="60"/>
      </w:pPr>
      <w:r>
        <w:t xml:space="preserve">3. Relaciona la obra con su movimiento y contexto, y explica su influencia en el diseño actual.</w:t>
      </w:r>
    </w:p>
    <w:p>
      <w:pPr>
        <w:pStyle w:val="ListParagraph"/>
        <w:numPr>
          <w:ilvl w:val="0"/>
          <w:numId w:val="1"/>
        </w:numPr>
        <w:spacing w:after="60"/>
      </w:pPr>
      <w:r>
        <w:t xml:space="preserve">Antes de escribir, identifica primero a qué movimiento pertenece la imagen: eso te dará automáticamente el contexto, la ideología y la cadena de influencias que necesitas para el punto 3.</w:t>
      </w:r>
    </w:p>
    <w:sectPr>
      <w:pgSz w:w="11907" w:h="16840"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1F3864" w:sz="8" w:space="4"/>
      </w:pBdr>
      <w:spacing w:after="120" w:before="300"/>
    </w:pPr>
    <w:rPr>
      <w:rFonts w:ascii="Calibri" w:cs="Calibri" w:eastAsia="Calibri" w:hAnsi="Calibri"/>
      <w:b/>
      <w:bCs/>
      <w:color w:val="1F3864"/>
      <w:sz w:val="27"/>
      <w:szCs w:val="27"/>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8639c7ba464cf92ae2656cb56d87582ed3328d38.jpg"/><Relationship Id="rId8" Type="http://schemas.openxmlformats.org/officeDocument/2006/relationships/image" Target="media/d22bf0a4edf8d13bfe55b528965eb1ba1fb2aac0.jpg"/><Relationship Id="rId9" Type="http://schemas.openxmlformats.org/officeDocument/2006/relationships/image" Target="media/71e39daece6021d64f861f89759ebfd923af0d39.jpg"/><Relationship Id="rId10" Type="http://schemas.openxmlformats.org/officeDocument/2006/relationships/image" Target="media/d3fa992708683b42b0a04c1b4d273fae6e94866b.jpg"/><Relationship Id="rId11" Type="http://schemas.openxmlformats.org/officeDocument/2006/relationships/image" Target="media/836fb89252b287a946548585b993bd107aea128a.jpg"/><Relationship Id="rId12" Type="http://schemas.openxmlformats.org/officeDocument/2006/relationships/image" Target="media/2d12bd63a610488234e97418804f464bb6f8af0d.jpg"/><Relationship Id="rId13" Type="http://schemas.openxmlformats.org/officeDocument/2006/relationships/image" Target="media/4da9d534fab83c0082aa9443e40e204302080558.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2026-09-12T07:41:50.602Z</dcterms:created>
  <dcterms:modified xsi:type="dcterms:W3CDTF">2026-09-12T07:41:50.611Z</dcterms:modified>
</cp:coreProperties>
</file>

<file path=docProps/custom.xml><?xml version="1.0" encoding="utf-8"?>
<Properties xmlns="http://schemas.openxmlformats.org/officeDocument/2006/custom-properties" xmlns:vt="http://schemas.openxmlformats.org/officeDocument/2006/docPropsVTypes"/>
</file>